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4A" w:rsidRDefault="0010004A" w:rsidP="00E42D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2D8A" w:rsidRPr="00225827" w:rsidRDefault="00432D24" w:rsidP="00E42D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5827">
        <w:rPr>
          <w:rFonts w:ascii="Times New Roman" w:hAnsi="Times New Roman"/>
          <w:b/>
          <w:sz w:val="24"/>
          <w:szCs w:val="24"/>
        </w:rPr>
        <w:t xml:space="preserve">Отчет о </w:t>
      </w:r>
      <w:r w:rsidR="00E42D8A" w:rsidRPr="00225827">
        <w:rPr>
          <w:rFonts w:ascii="Times New Roman" w:hAnsi="Times New Roman"/>
          <w:b/>
          <w:sz w:val="24"/>
          <w:szCs w:val="24"/>
        </w:rPr>
        <w:t xml:space="preserve">реализации Плана мероприятий («дорожной карты») по содействию развитию конкуренции </w:t>
      </w:r>
      <w:proofErr w:type="gramStart"/>
      <w:r w:rsidR="00E42D8A" w:rsidRPr="00225827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E42D8A" w:rsidRPr="0022582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E4204" w:rsidRPr="00225827">
        <w:rPr>
          <w:rFonts w:ascii="Times New Roman" w:hAnsi="Times New Roman"/>
          <w:b/>
          <w:sz w:val="24"/>
          <w:szCs w:val="24"/>
        </w:rPr>
        <w:t>Сосновоборском</w:t>
      </w:r>
      <w:proofErr w:type="gramEnd"/>
      <w:r w:rsidR="00FE4204" w:rsidRPr="00225827">
        <w:rPr>
          <w:rFonts w:ascii="Times New Roman" w:hAnsi="Times New Roman"/>
          <w:b/>
          <w:sz w:val="24"/>
          <w:szCs w:val="24"/>
        </w:rPr>
        <w:t xml:space="preserve"> городском округе</w:t>
      </w:r>
      <w:r w:rsidR="00E42D8A" w:rsidRPr="00225827">
        <w:rPr>
          <w:rFonts w:ascii="Times New Roman" w:hAnsi="Times New Roman"/>
          <w:b/>
          <w:sz w:val="24"/>
          <w:szCs w:val="24"/>
        </w:rPr>
        <w:t xml:space="preserve"> за</w:t>
      </w:r>
      <w:r w:rsidR="00225827" w:rsidRPr="00225827">
        <w:rPr>
          <w:rFonts w:ascii="Times New Roman" w:hAnsi="Times New Roman"/>
          <w:b/>
          <w:sz w:val="24"/>
          <w:szCs w:val="24"/>
        </w:rPr>
        <w:t xml:space="preserve"> I квартал</w:t>
      </w:r>
      <w:r w:rsidR="00E42D8A" w:rsidRPr="00225827">
        <w:rPr>
          <w:rFonts w:ascii="Times New Roman" w:hAnsi="Times New Roman"/>
          <w:b/>
          <w:sz w:val="24"/>
          <w:szCs w:val="24"/>
        </w:rPr>
        <w:t xml:space="preserve"> 20</w:t>
      </w:r>
      <w:r w:rsidR="00867FEC" w:rsidRPr="00225827">
        <w:rPr>
          <w:rFonts w:ascii="Times New Roman" w:hAnsi="Times New Roman"/>
          <w:b/>
          <w:sz w:val="24"/>
          <w:szCs w:val="24"/>
        </w:rPr>
        <w:t>2</w:t>
      </w:r>
      <w:r w:rsidR="00650640">
        <w:rPr>
          <w:rFonts w:ascii="Times New Roman" w:hAnsi="Times New Roman"/>
          <w:b/>
          <w:sz w:val="24"/>
          <w:szCs w:val="24"/>
        </w:rPr>
        <w:t>1</w:t>
      </w:r>
      <w:r w:rsidR="00867FEC" w:rsidRPr="00225827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283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07"/>
        <w:gridCol w:w="3893"/>
        <w:gridCol w:w="889"/>
        <w:gridCol w:w="103"/>
        <w:gridCol w:w="58"/>
        <w:gridCol w:w="1094"/>
        <w:gridCol w:w="2410"/>
        <w:gridCol w:w="2696"/>
        <w:gridCol w:w="2822"/>
        <w:gridCol w:w="2552"/>
        <w:gridCol w:w="2552"/>
        <w:gridCol w:w="2552"/>
        <w:gridCol w:w="2552"/>
      </w:tblGrid>
      <w:tr w:rsidR="00432D24" w:rsidRPr="000379C3" w:rsidTr="00A6104D">
        <w:trPr>
          <w:gridAfter w:val="5"/>
          <w:wAfter w:w="13030" w:type="dxa"/>
        </w:trPr>
        <w:tc>
          <w:tcPr>
            <w:tcW w:w="561" w:type="dxa"/>
            <w:vMerge w:val="restart"/>
            <w:shd w:val="clear" w:color="auto" w:fill="auto"/>
            <w:vAlign w:val="center"/>
          </w:tcPr>
          <w:p w:rsidR="0097573C" w:rsidRPr="000379C3" w:rsidRDefault="0097573C" w:rsidP="00A61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79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79C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379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97573C" w:rsidRPr="000379C3" w:rsidRDefault="000E4A82" w:rsidP="00A61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C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7573C" w:rsidRPr="000379C3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  <w:r w:rsidRPr="000379C3">
              <w:rPr>
                <w:rFonts w:ascii="Times New Roman" w:hAnsi="Times New Roman"/>
                <w:b/>
                <w:sz w:val="24"/>
                <w:szCs w:val="24"/>
              </w:rPr>
              <w:t>, направленные на достижение целевого показателя</w:t>
            </w:r>
          </w:p>
        </w:tc>
        <w:tc>
          <w:tcPr>
            <w:tcW w:w="3894" w:type="dxa"/>
            <w:vMerge w:val="restart"/>
            <w:shd w:val="clear" w:color="auto" w:fill="auto"/>
            <w:vAlign w:val="center"/>
          </w:tcPr>
          <w:p w:rsidR="0097573C" w:rsidRPr="000379C3" w:rsidRDefault="000E4A82" w:rsidP="00A61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C3">
              <w:rPr>
                <w:rStyle w:val="7pt0pt"/>
                <w:rFonts w:eastAsia="Calibri"/>
                <w:color w:val="auto"/>
                <w:sz w:val="24"/>
                <w:szCs w:val="24"/>
              </w:rPr>
              <w:t>Наименование ключевого показателя развития конкуренции в отраслях (сферах) экономики</w:t>
            </w:r>
          </w:p>
        </w:tc>
        <w:tc>
          <w:tcPr>
            <w:tcW w:w="2141" w:type="dxa"/>
            <w:gridSpan w:val="4"/>
            <w:shd w:val="clear" w:color="auto" w:fill="auto"/>
            <w:vAlign w:val="center"/>
          </w:tcPr>
          <w:p w:rsidR="0097573C" w:rsidRPr="000379C3" w:rsidRDefault="0097573C" w:rsidP="00A61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C3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7573C" w:rsidRPr="000379C3" w:rsidRDefault="0097573C" w:rsidP="00A61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C3">
              <w:rPr>
                <w:rFonts w:ascii="Times New Roman" w:hAnsi="Times New Roman"/>
                <w:b/>
                <w:sz w:val="24"/>
                <w:szCs w:val="24"/>
              </w:rPr>
              <w:t>Результат мероприятия</w:t>
            </w: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:rsidR="0097573C" w:rsidRPr="000379C3" w:rsidRDefault="0097573C" w:rsidP="00A6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C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32D24" w:rsidRPr="000379C3" w:rsidTr="00A6104D">
        <w:trPr>
          <w:gridAfter w:val="5"/>
          <w:wAfter w:w="13030" w:type="dxa"/>
          <w:trHeight w:val="293"/>
        </w:trPr>
        <w:tc>
          <w:tcPr>
            <w:tcW w:w="561" w:type="dxa"/>
            <w:vMerge/>
            <w:shd w:val="clear" w:color="auto" w:fill="auto"/>
            <w:vAlign w:val="center"/>
          </w:tcPr>
          <w:p w:rsidR="0097573C" w:rsidRPr="000379C3" w:rsidRDefault="0097573C" w:rsidP="00A6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  <w:shd w:val="clear" w:color="auto" w:fill="auto"/>
            <w:vAlign w:val="center"/>
          </w:tcPr>
          <w:p w:rsidR="0097573C" w:rsidRPr="000379C3" w:rsidRDefault="0097573C" w:rsidP="00A6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  <w:shd w:val="clear" w:color="auto" w:fill="auto"/>
            <w:vAlign w:val="center"/>
          </w:tcPr>
          <w:p w:rsidR="0097573C" w:rsidRPr="000379C3" w:rsidRDefault="0097573C" w:rsidP="00A6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573C" w:rsidRPr="000379C3" w:rsidRDefault="0097573C" w:rsidP="00A61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C3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  <w:r w:rsidR="00250503">
              <w:rPr>
                <w:rFonts w:ascii="Times New Roman" w:hAnsi="Times New Roman"/>
                <w:b/>
                <w:sz w:val="24"/>
                <w:szCs w:val="24"/>
              </w:rPr>
              <w:t>на год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7573C" w:rsidRPr="000379C3" w:rsidRDefault="0097573C" w:rsidP="00A61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C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 w:rsidR="00250503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r w:rsidR="00566E83" w:rsidRPr="00225827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r w:rsidR="00566E83">
              <w:rPr>
                <w:rFonts w:ascii="Times New Roman" w:hAnsi="Times New Roman"/>
                <w:b/>
                <w:sz w:val="24"/>
                <w:szCs w:val="24"/>
              </w:rPr>
              <w:t>кв.</w:t>
            </w:r>
            <w:r w:rsidR="00566E83" w:rsidRPr="00225827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566E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66E83" w:rsidRPr="00225827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7573C" w:rsidRPr="000379C3" w:rsidRDefault="0097573C" w:rsidP="00A6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:rsidR="0097573C" w:rsidRPr="000379C3" w:rsidRDefault="0097573C" w:rsidP="00A6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C7" w:rsidRPr="000379C3" w:rsidTr="002A1AEF">
        <w:trPr>
          <w:gridAfter w:val="5"/>
          <w:wAfter w:w="13030" w:type="dxa"/>
          <w:trHeight w:val="369"/>
        </w:trPr>
        <w:tc>
          <w:tcPr>
            <w:tcW w:w="15310" w:type="dxa"/>
            <w:gridSpan w:val="9"/>
            <w:shd w:val="clear" w:color="auto" w:fill="auto"/>
          </w:tcPr>
          <w:p w:rsidR="009F70C7" w:rsidRPr="000379C3" w:rsidRDefault="00FB2452" w:rsidP="00A95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9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379C3">
              <w:rPr>
                <w:rFonts w:ascii="Times New Roman" w:hAnsi="Times New Roman"/>
                <w:b/>
                <w:sz w:val="24"/>
                <w:szCs w:val="24"/>
              </w:rPr>
              <w:t>. Мероприятия по содействию развитию конкуренции на рынках товаров, работ и услуг в Сосновоборском городском округе</w:t>
            </w:r>
            <w:r w:rsidR="002F21C7" w:rsidRPr="000379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F70C7" w:rsidRPr="000379C3" w:rsidTr="002A1AEF">
        <w:trPr>
          <w:gridAfter w:val="5"/>
          <w:wAfter w:w="13030" w:type="dxa"/>
          <w:trHeight w:val="357"/>
        </w:trPr>
        <w:tc>
          <w:tcPr>
            <w:tcW w:w="15310" w:type="dxa"/>
            <w:gridSpan w:val="9"/>
            <w:shd w:val="clear" w:color="auto" w:fill="auto"/>
          </w:tcPr>
          <w:p w:rsidR="009F70C7" w:rsidRPr="000379C3" w:rsidRDefault="00FB2452" w:rsidP="00A95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9C3">
              <w:rPr>
                <w:rFonts w:ascii="Times New Roman" w:hAnsi="Times New Roman"/>
                <w:b/>
                <w:bCs/>
                <w:sz w:val="24"/>
                <w:szCs w:val="24"/>
              </w:rPr>
              <w:t>1.Рынок выполнения работ по благоустройству городской среды</w:t>
            </w:r>
            <w:r w:rsidR="002F21C7" w:rsidRPr="000379C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37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2D24" w:rsidRPr="000379C3" w:rsidTr="00566E83">
        <w:trPr>
          <w:gridAfter w:val="5"/>
          <w:wAfter w:w="13030" w:type="dxa"/>
        </w:trPr>
        <w:tc>
          <w:tcPr>
            <w:tcW w:w="561" w:type="dxa"/>
            <w:shd w:val="clear" w:color="auto" w:fill="auto"/>
          </w:tcPr>
          <w:p w:rsidR="0097573C" w:rsidRPr="000379C3" w:rsidRDefault="009F70C7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9C3">
              <w:rPr>
                <w:rFonts w:ascii="Times New Roman" w:hAnsi="Times New Roman"/>
                <w:sz w:val="24"/>
                <w:szCs w:val="24"/>
              </w:rPr>
              <w:t>1</w:t>
            </w:r>
            <w:r w:rsidR="00E665C8" w:rsidRPr="000379C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08" w:type="dxa"/>
            <w:shd w:val="clear" w:color="auto" w:fill="auto"/>
          </w:tcPr>
          <w:p w:rsidR="0097573C" w:rsidRPr="001D5247" w:rsidRDefault="00FB2452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Проведение конкурсных процедур на право заключения муниципальных контрактов на выполнение работ по благоустройству городской среды</w:t>
            </w:r>
            <w:r w:rsidR="002F21C7" w:rsidRPr="001D52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  <w:shd w:val="clear" w:color="auto" w:fill="auto"/>
          </w:tcPr>
          <w:p w:rsidR="0097573C" w:rsidRPr="001D5247" w:rsidRDefault="00FB2452" w:rsidP="00A95083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Style w:val="95pt0pt"/>
                <w:rFonts w:eastAsia="Arial"/>
                <w:color w:val="auto"/>
                <w:sz w:val="24"/>
                <w:szCs w:val="24"/>
              </w:rPr>
              <w:t>Доля муниципальных контрактов на выполнение работ по благоустройству городской среды, оказанных (выполненных) организациями частной формы собственности</w:t>
            </w:r>
            <w:r w:rsidR="002F21C7" w:rsidRPr="001D5247">
              <w:rPr>
                <w:rStyle w:val="95pt0pt"/>
                <w:rFonts w:eastAsia="Arial"/>
                <w:color w:val="auto"/>
                <w:sz w:val="24"/>
                <w:szCs w:val="24"/>
              </w:rPr>
              <w:t>.(%)</w:t>
            </w:r>
            <w:r w:rsidRPr="001D5247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573C" w:rsidRPr="001D5247" w:rsidRDefault="00FB2452" w:rsidP="008A0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47"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  <w:t>Не менее 9</w:t>
            </w:r>
            <w:r w:rsidR="00867FEC" w:rsidRPr="001D5247"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  <w:t>6</w:t>
            </w:r>
            <w:r w:rsidR="00341487" w:rsidRPr="001D5247"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97573C" w:rsidRPr="001D5247" w:rsidRDefault="001D5247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2410" w:type="dxa"/>
            <w:shd w:val="clear" w:color="auto" w:fill="auto"/>
          </w:tcPr>
          <w:p w:rsidR="002F21C7" w:rsidRPr="001D5247" w:rsidRDefault="002F21C7" w:rsidP="00B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97573C" w:rsidRPr="001D5247" w:rsidRDefault="00B40F02" w:rsidP="001D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 xml:space="preserve">Работы по отделу внешнего благоустройства и дорожного хозяйства,  в связи с сезонностью, планируются  на </w:t>
            </w:r>
            <w:r w:rsidR="001D524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D5247" w:rsidRPr="001D5247">
              <w:rPr>
                <w:rFonts w:ascii="Times New Roman" w:hAnsi="Times New Roman"/>
                <w:sz w:val="24"/>
                <w:szCs w:val="24"/>
              </w:rPr>
              <w:t>-</w:t>
            </w:r>
            <w:r w:rsidR="001D524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D5247">
              <w:rPr>
                <w:rFonts w:ascii="Times New Roman" w:hAnsi="Times New Roman"/>
                <w:sz w:val="24"/>
                <w:szCs w:val="24"/>
              </w:rPr>
              <w:t xml:space="preserve"> кварталы  2021 г</w:t>
            </w:r>
            <w:r w:rsidR="001D5247">
              <w:rPr>
                <w:rFonts w:ascii="Times New Roman" w:hAnsi="Times New Roman"/>
                <w:sz w:val="24"/>
                <w:szCs w:val="24"/>
              </w:rPr>
              <w:t>.</w:t>
            </w:r>
            <w:r w:rsidRPr="001D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0C7" w:rsidRPr="000379C3" w:rsidTr="002A1AEF">
        <w:trPr>
          <w:gridAfter w:val="5"/>
          <w:wAfter w:w="13030" w:type="dxa"/>
          <w:trHeight w:val="369"/>
        </w:trPr>
        <w:tc>
          <w:tcPr>
            <w:tcW w:w="153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70C7" w:rsidRPr="001D5247" w:rsidRDefault="00FB2452" w:rsidP="00A95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247">
              <w:rPr>
                <w:rStyle w:val="10pt0pt"/>
                <w:rFonts w:eastAsia="Calibri"/>
                <w:color w:val="auto"/>
                <w:sz w:val="24"/>
                <w:szCs w:val="24"/>
              </w:rPr>
              <w:t>2.</w:t>
            </w:r>
            <w:r w:rsidRPr="001D5247">
              <w:rPr>
                <w:rFonts w:ascii="Times New Roman" w:hAnsi="Times New Roman"/>
                <w:b/>
                <w:sz w:val="24"/>
                <w:szCs w:val="24"/>
              </w:rPr>
              <w:t xml:space="preserve"> Рынок архитектурно-строительного проектирования</w:t>
            </w:r>
            <w:r w:rsidR="002F21C7" w:rsidRPr="001D52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32D24" w:rsidRPr="000379C3" w:rsidTr="00566E83">
        <w:trPr>
          <w:gridAfter w:val="5"/>
          <w:wAfter w:w="13030" w:type="dxa"/>
          <w:trHeight w:val="2100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97573C" w:rsidRPr="000379C3" w:rsidRDefault="00E665C8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9C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:rsidR="00527476" w:rsidRPr="001D5247" w:rsidRDefault="00527476" w:rsidP="00A95083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b w:val="0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  <w:r w:rsidR="002F21C7" w:rsidRPr="001D524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97573C" w:rsidRPr="001D5247" w:rsidRDefault="0097573C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auto"/>
          </w:tcPr>
          <w:p w:rsidR="0097573C" w:rsidRPr="001D5247" w:rsidRDefault="00527476" w:rsidP="00A95083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выданных разрешений на установку и эксплуатацию рекламных конструкций на территории муниципального образования </w:t>
            </w:r>
            <w:r w:rsidR="003C3B72" w:rsidRPr="001D5247">
              <w:rPr>
                <w:rFonts w:ascii="Times New Roman" w:hAnsi="Times New Roman"/>
                <w:b w:val="0"/>
                <w:sz w:val="24"/>
                <w:szCs w:val="24"/>
              </w:rPr>
              <w:t>Сосновоборский</w:t>
            </w:r>
            <w:r w:rsidRPr="001D5247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городской округ Ленинградской области (шт.)</w:t>
            </w:r>
            <w:r w:rsidR="002F21C7" w:rsidRPr="001D524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134E89" w:rsidRPr="001D5247" w:rsidRDefault="00134E89" w:rsidP="00A95083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73C" w:rsidRPr="001D5247" w:rsidRDefault="002F29C8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73C" w:rsidRPr="001D5247" w:rsidRDefault="001A59DD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7573C" w:rsidRPr="001D5247" w:rsidRDefault="001A59DD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ООО «Лента» - 10шт., АО «Сосновоборская торговля» - 1шт.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97573C" w:rsidRPr="001D5247" w:rsidRDefault="0097573C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2D" w:rsidRPr="000379C3" w:rsidTr="00B8767E">
        <w:trPr>
          <w:gridAfter w:val="5"/>
          <w:wAfter w:w="13030" w:type="dxa"/>
          <w:trHeight w:val="433"/>
        </w:trPr>
        <w:tc>
          <w:tcPr>
            <w:tcW w:w="153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B7E2D" w:rsidRPr="001D5247" w:rsidRDefault="008B7E2D" w:rsidP="00A95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2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D52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6E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5247">
              <w:rPr>
                <w:rFonts w:ascii="Times New Roman" w:hAnsi="Times New Roman"/>
                <w:b/>
                <w:sz w:val="24"/>
                <w:szCs w:val="24"/>
              </w:rPr>
              <w:t>Системные мероприятия по развитию конкурентной среды в Сосновоборском городском округе</w:t>
            </w:r>
          </w:p>
        </w:tc>
      </w:tr>
      <w:tr w:rsidR="002A1AEF" w:rsidRPr="000379C3" w:rsidTr="008A0814">
        <w:trPr>
          <w:gridAfter w:val="5"/>
          <w:wAfter w:w="13030" w:type="dxa"/>
          <w:trHeight w:val="25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EF" w:rsidRPr="000379C3" w:rsidRDefault="00134E89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79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79C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379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EF" w:rsidRPr="001D5247" w:rsidRDefault="00134E89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достижение целевого показателя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EF" w:rsidRPr="001D5247" w:rsidRDefault="00A95083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Style w:val="7pt0pt"/>
                <w:rFonts w:eastAsia="Calibri"/>
                <w:color w:val="auto"/>
                <w:sz w:val="24"/>
                <w:szCs w:val="24"/>
              </w:rPr>
              <w:t>Целевые индикаторы, единица измерения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EF" w:rsidRPr="001D5247" w:rsidRDefault="00134E89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EF" w:rsidRPr="001D5247" w:rsidRDefault="00134E89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b/>
                <w:sz w:val="24"/>
                <w:szCs w:val="24"/>
              </w:rPr>
              <w:t>Результат мероприятия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EF" w:rsidRPr="001D5247" w:rsidRDefault="00134E89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A1AEF" w:rsidRPr="000379C3" w:rsidTr="008A0814">
        <w:trPr>
          <w:gridAfter w:val="5"/>
          <w:wAfter w:w="13030" w:type="dxa"/>
          <w:trHeight w:val="48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EF" w:rsidRPr="000379C3" w:rsidRDefault="002A1AEF" w:rsidP="008A0814">
            <w:pPr>
              <w:spacing w:after="0" w:line="240" w:lineRule="auto"/>
              <w:jc w:val="center"/>
              <w:rPr>
                <w:rStyle w:val="ArialNarrow9pt0pt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EF" w:rsidRPr="001D5247" w:rsidRDefault="002A1AEF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EF" w:rsidRPr="001D5247" w:rsidRDefault="002A1AEF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EF" w:rsidRPr="001D5247" w:rsidRDefault="00134E89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EF" w:rsidRPr="001D5247" w:rsidRDefault="00134E89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EF" w:rsidRPr="001D5247" w:rsidRDefault="002A1AEF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EF" w:rsidRPr="001D5247" w:rsidRDefault="002A1AEF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204" w:rsidRPr="000379C3" w:rsidTr="002A1AEF">
        <w:trPr>
          <w:gridAfter w:val="5"/>
          <w:wAfter w:w="13030" w:type="dxa"/>
          <w:trHeight w:val="207"/>
        </w:trPr>
        <w:tc>
          <w:tcPr>
            <w:tcW w:w="1531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E4204" w:rsidRPr="001D5247" w:rsidRDefault="0035688A" w:rsidP="00A95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247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1</w:t>
            </w:r>
            <w:r w:rsidRPr="001D5247">
              <w:rPr>
                <w:rStyle w:val="1"/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Pr="001D5247">
              <w:rPr>
                <w:rFonts w:ascii="Times New Roman" w:hAnsi="Times New Roman"/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  <w:r w:rsidR="002F21C7" w:rsidRPr="001D52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E4204" w:rsidRPr="000379C3" w:rsidTr="00566E83">
        <w:trPr>
          <w:gridAfter w:val="5"/>
          <w:wAfter w:w="13030" w:type="dxa"/>
          <w:trHeight w:val="558"/>
        </w:trPr>
        <w:tc>
          <w:tcPr>
            <w:tcW w:w="561" w:type="dxa"/>
            <w:shd w:val="clear" w:color="auto" w:fill="auto"/>
          </w:tcPr>
          <w:p w:rsidR="00FE4204" w:rsidRPr="000379C3" w:rsidRDefault="00FE4204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9C3">
              <w:rPr>
                <w:rFonts w:ascii="Times New Roman" w:hAnsi="Times New Roman"/>
                <w:sz w:val="24"/>
                <w:szCs w:val="24"/>
              </w:rPr>
              <w:t>1</w:t>
            </w:r>
            <w:r w:rsidR="00E665C8" w:rsidRPr="000379C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08" w:type="dxa"/>
            <w:shd w:val="clear" w:color="auto" w:fill="auto"/>
          </w:tcPr>
          <w:p w:rsidR="00FE4204" w:rsidRPr="001D5247" w:rsidRDefault="00527476" w:rsidP="00A95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247">
              <w:rPr>
                <w:rStyle w:val="ArialNarrow9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3894" w:type="dxa"/>
            <w:shd w:val="clear" w:color="auto" w:fill="auto"/>
          </w:tcPr>
          <w:p w:rsidR="00FE4204" w:rsidRPr="001D5247" w:rsidRDefault="002E584D" w:rsidP="000379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247"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  <w:t xml:space="preserve"> </w:t>
            </w:r>
            <w:r w:rsidR="00447E87" w:rsidRPr="001D5247">
              <w:rPr>
                <w:rStyle w:val="10pt"/>
                <w:rFonts w:eastAsia="Calibri"/>
                <w:b w:val="0"/>
                <w:color w:val="auto"/>
                <w:sz w:val="24"/>
                <w:szCs w:val="24"/>
              </w:rPr>
              <w:t xml:space="preserve">Доля уникальных субъектов малого и среднего предпринимательства, которым на безвозмездной основе предоставлена информационная, консультационная и образовательная  поддержка </w:t>
            </w:r>
            <w:proofErr w:type="gramStart"/>
            <w:r w:rsidR="00447E87" w:rsidRPr="001D5247">
              <w:rPr>
                <w:rStyle w:val="10pt"/>
                <w:rFonts w:eastAsia="Calibri"/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="00447E87" w:rsidRPr="001D5247">
              <w:rPr>
                <w:rStyle w:val="10pt"/>
                <w:rFonts w:eastAsia="Calibri"/>
                <w:b w:val="0"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E4204" w:rsidRPr="001D5247" w:rsidRDefault="001D16E6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FE4204" w:rsidRPr="001D5247" w:rsidRDefault="00392741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410" w:type="dxa"/>
            <w:shd w:val="clear" w:color="auto" w:fill="auto"/>
          </w:tcPr>
          <w:p w:rsidR="00392741" w:rsidRPr="001D5247" w:rsidRDefault="00392741" w:rsidP="00392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Всего СМП – 1885.</w:t>
            </w:r>
          </w:p>
          <w:p w:rsidR="00392741" w:rsidRPr="001D5247" w:rsidRDefault="00392741" w:rsidP="00392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Уникальных СМП – 168.</w:t>
            </w:r>
          </w:p>
          <w:p w:rsidR="00FE4204" w:rsidRPr="001D5247" w:rsidRDefault="00392741" w:rsidP="00392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(168/1885*100%=8,9 %)</w:t>
            </w:r>
          </w:p>
        </w:tc>
        <w:tc>
          <w:tcPr>
            <w:tcW w:w="2696" w:type="dxa"/>
            <w:shd w:val="clear" w:color="auto" w:fill="auto"/>
          </w:tcPr>
          <w:p w:rsidR="00FE4204" w:rsidRPr="001D5247" w:rsidRDefault="00FE4204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476" w:rsidRPr="000379C3" w:rsidTr="00566E83">
        <w:trPr>
          <w:gridAfter w:val="5"/>
          <w:wAfter w:w="13030" w:type="dxa"/>
          <w:trHeight w:val="983"/>
        </w:trPr>
        <w:tc>
          <w:tcPr>
            <w:tcW w:w="561" w:type="dxa"/>
            <w:shd w:val="clear" w:color="auto" w:fill="auto"/>
          </w:tcPr>
          <w:p w:rsidR="00527476" w:rsidRPr="000379C3" w:rsidRDefault="0026427F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9C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08" w:type="dxa"/>
            <w:shd w:val="clear" w:color="auto" w:fill="auto"/>
          </w:tcPr>
          <w:p w:rsidR="000D4395" w:rsidRPr="001D5247" w:rsidRDefault="00527476" w:rsidP="00A95083">
            <w:pPr>
              <w:spacing w:after="0" w:line="240" w:lineRule="auto"/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</w:pPr>
            <w:r w:rsidRPr="001D5247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 xml:space="preserve">Оказание методической и консультационной помощи </w:t>
            </w:r>
            <w:r w:rsidRPr="001D5247">
              <w:rPr>
                <w:rFonts w:ascii="Times New Roman" w:hAnsi="Times New Roman"/>
                <w:sz w:val="24"/>
                <w:szCs w:val="24"/>
              </w:rPr>
              <w:t>оказание консультативной помощи  гражданам, в том числе - главам крестьянских (фермерских) хозяйств, членам таких хозяйств, гражданам, ведущим личные подсобные хозяйства или занимающиеся садоводством, огородничеством</w:t>
            </w:r>
            <w:r w:rsidRPr="001D5247"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527476" w:rsidRPr="001D5247" w:rsidRDefault="00527476" w:rsidP="00A95083">
            <w:pPr>
              <w:spacing w:after="0" w:line="240" w:lineRule="auto"/>
              <w:rPr>
                <w:rStyle w:val="ArialNarrow9pt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5247"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  <w:t>по вопросам участия в ярмарках и организации нестационарных торговых объектов.</w:t>
            </w:r>
          </w:p>
        </w:tc>
        <w:tc>
          <w:tcPr>
            <w:tcW w:w="3894" w:type="dxa"/>
            <w:shd w:val="clear" w:color="auto" w:fill="auto"/>
          </w:tcPr>
          <w:p w:rsidR="00527476" w:rsidRPr="001D5247" w:rsidRDefault="00447E87" w:rsidP="00A95083">
            <w:pPr>
              <w:spacing w:after="0" w:line="240" w:lineRule="auto"/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</w:pPr>
            <w:r w:rsidRPr="001D5247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Доля граждан, получивших методическую и консультационную помощь по вопросам участия в ярмарках и организации нестационарных торговых объектов в общем числе обратившихся,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27476" w:rsidRPr="001D5247" w:rsidRDefault="00527476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27476" w:rsidRPr="001D5247" w:rsidRDefault="00F15D8F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371435" w:rsidRPr="001D5247" w:rsidRDefault="00371435" w:rsidP="0037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в администрацию - 12 </w:t>
            </w:r>
          </w:p>
          <w:p w:rsidR="00371435" w:rsidRPr="001D5247" w:rsidRDefault="00371435" w:rsidP="0037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71435" w:rsidRPr="001D5247" w:rsidRDefault="00371435" w:rsidP="0037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 xml:space="preserve"> а) по вопросам установки НТО – </w:t>
            </w:r>
          </w:p>
          <w:p w:rsidR="00371435" w:rsidRPr="001D5247" w:rsidRDefault="00371435" w:rsidP="0037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7 ИП</w:t>
            </w:r>
          </w:p>
          <w:p w:rsidR="00527476" w:rsidRPr="001D5247" w:rsidRDefault="00371435" w:rsidP="0037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б) по вопросам  участия в ярмарках – 4 ИП</w:t>
            </w:r>
          </w:p>
        </w:tc>
        <w:tc>
          <w:tcPr>
            <w:tcW w:w="2696" w:type="dxa"/>
            <w:shd w:val="clear" w:color="auto" w:fill="auto"/>
          </w:tcPr>
          <w:p w:rsidR="000D4395" w:rsidRPr="001D5247" w:rsidRDefault="000D4395" w:rsidP="00AB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204" w:rsidRPr="000379C3" w:rsidTr="002A1AEF">
        <w:trPr>
          <w:gridAfter w:val="5"/>
          <w:wAfter w:w="13030" w:type="dxa"/>
          <w:trHeight w:val="104"/>
        </w:trPr>
        <w:tc>
          <w:tcPr>
            <w:tcW w:w="15310" w:type="dxa"/>
            <w:gridSpan w:val="9"/>
            <w:shd w:val="clear" w:color="auto" w:fill="auto"/>
          </w:tcPr>
          <w:p w:rsidR="00FE4204" w:rsidRPr="001D5247" w:rsidRDefault="002E584D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Style w:val="10pt0pt"/>
                <w:rFonts w:eastAsia="Calibri"/>
                <w:color w:val="auto"/>
                <w:sz w:val="24"/>
                <w:szCs w:val="24"/>
              </w:rPr>
              <w:t xml:space="preserve"> 2. Устранение избыточного государственного и муниципального регулирования, а также снижение административных барьеров</w:t>
            </w:r>
            <w:r w:rsidR="002F21C7" w:rsidRPr="001D5247">
              <w:rPr>
                <w:rStyle w:val="10pt0pt"/>
                <w:rFonts w:eastAsia="Calibri"/>
                <w:color w:val="auto"/>
                <w:sz w:val="24"/>
                <w:szCs w:val="24"/>
              </w:rPr>
              <w:t>.</w:t>
            </w:r>
          </w:p>
        </w:tc>
      </w:tr>
      <w:tr w:rsidR="005E1157" w:rsidRPr="000379C3" w:rsidTr="00566E83">
        <w:trPr>
          <w:gridAfter w:val="5"/>
          <w:wAfter w:w="13030" w:type="dxa"/>
          <w:trHeight w:val="1485"/>
        </w:trPr>
        <w:tc>
          <w:tcPr>
            <w:tcW w:w="561" w:type="dxa"/>
            <w:shd w:val="clear" w:color="auto" w:fill="auto"/>
          </w:tcPr>
          <w:p w:rsidR="005E1157" w:rsidRPr="000379C3" w:rsidRDefault="005E1157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9C3">
              <w:rPr>
                <w:rFonts w:ascii="Times New Roman" w:hAnsi="Times New Roman"/>
                <w:sz w:val="24"/>
                <w:szCs w:val="24"/>
              </w:rPr>
              <w:t>2</w:t>
            </w:r>
            <w:r w:rsidR="00E665C8" w:rsidRPr="000379C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08" w:type="dxa"/>
            <w:shd w:val="clear" w:color="auto" w:fill="auto"/>
          </w:tcPr>
          <w:p w:rsidR="005E1157" w:rsidRPr="001D5247" w:rsidRDefault="00527476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 xml:space="preserve">Содействие в устранении административных барьеров и препятствий сдерживающих развитие предпринимательства </w:t>
            </w:r>
          </w:p>
        </w:tc>
        <w:tc>
          <w:tcPr>
            <w:tcW w:w="3894" w:type="dxa"/>
            <w:shd w:val="clear" w:color="auto" w:fill="auto"/>
          </w:tcPr>
          <w:p w:rsidR="005E1157" w:rsidRPr="001D5247" w:rsidRDefault="005E1157" w:rsidP="00A95083">
            <w:pPr>
              <w:pStyle w:val="4"/>
              <w:spacing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b w:val="0"/>
                <w:sz w:val="24"/>
                <w:szCs w:val="24"/>
              </w:rPr>
              <w:t>Проведение заседаний координационного совета по вопросам развития малого и среднего предпринимательства к общему числу запланированных заседаний на текущий год,</w:t>
            </w:r>
            <w:r w:rsidR="00916B78" w:rsidRPr="001D524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D5247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1157" w:rsidRPr="001D5247" w:rsidRDefault="005E1157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5E1157" w:rsidRPr="001D5247" w:rsidRDefault="00F23F16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5E1157" w:rsidRPr="001D5247" w:rsidRDefault="003445B9" w:rsidP="0037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Проведено 1 заседание координационного совета по вопросам развития малого и среднего предпринимательства на территории Сосновоборского городского округа</w:t>
            </w:r>
          </w:p>
        </w:tc>
        <w:tc>
          <w:tcPr>
            <w:tcW w:w="2696" w:type="dxa"/>
            <w:shd w:val="clear" w:color="auto" w:fill="auto"/>
          </w:tcPr>
          <w:p w:rsidR="005E1157" w:rsidRPr="001D5247" w:rsidRDefault="005E1157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E9E" w:rsidRPr="000379C3" w:rsidTr="00566E83">
        <w:trPr>
          <w:gridAfter w:val="5"/>
          <w:wAfter w:w="13030" w:type="dxa"/>
          <w:trHeight w:val="255"/>
        </w:trPr>
        <w:tc>
          <w:tcPr>
            <w:tcW w:w="561" w:type="dxa"/>
            <w:shd w:val="clear" w:color="auto" w:fill="auto"/>
          </w:tcPr>
          <w:p w:rsidR="006B4E9E" w:rsidRPr="000379C3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9C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08" w:type="dxa"/>
            <w:shd w:val="clear" w:color="auto" w:fill="auto"/>
          </w:tcPr>
          <w:p w:rsidR="006B4E9E" w:rsidRPr="001D5247" w:rsidRDefault="006B4E9E" w:rsidP="00A95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</w:t>
            </w:r>
            <w:r w:rsidRPr="001D5247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актов Сосновоборского городского округа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894" w:type="dxa"/>
            <w:shd w:val="clear" w:color="auto" w:fill="auto"/>
          </w:tcPr>
          <w:p w:rsidR="006B4E9E" w:rsidRPr="001D5247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B4E9E" w:rsidRPr="001D5247" w:rsidRDefault="006B4E9E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D5247">
              <w:rPr>
                <w:rFonts w:ascii="Times New Roman" w:hAnsi="Times New Roman"/>
                <w:sz w:val="24"/>
                <w:szCs w:val="24"/>
              </w:rPr>
              <w:t>ме</w:t>
            </w:r>
            <w:r w:rsidR="008A0814">
              <w:rPr>
                <w:rFonts w:ascii="Times New Roman" w:hAnsi="Times New Roman"/>
                <w:sz w:val="24"/>
                <w:szCs w:val="24"/>
              </w:rPr>
              <w:t>-</w:t>
            </w:r>
            <w:r w:rsidRPr="001D5247">
              <w:rPr>
                <w:rFonts w:ascii="Times New Roman" w:hAnsi="Times New Roman"/>
                <w:sz w:val="24"/>
                <w:szCs w:val="24"/>
              </w:rPr>
              <w:lastRenderedPageBreak/>
              <w:t>нее</w:t>
            </w:r>
            <w:proofErr w:type="spellEnd"/>
            <w:proofErr w:type="gramEnd"/>
            <w:r w:rsidRPr="001D524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6B4E9E" w:rsidRPr="001D5247" w:rsidRDefault="001D5247" w:rsidP="008A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</w:t>
            </w:r>
          </w:p>
        </w:tc>
        <w:tc>
          <w:tcPr>
            <w:tcW w:w="2410" w:type="dxa"/>
            <w:shd w:val="clear" w:color="auto" w:fill="auto"/>
          </w:tcPr>
          <w:p w:rsidR="006B4E9E" w:rsidRPr="001D5247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B4E9E" w:rsidRPr="001D5247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E9E" w:rsidRPr="000379C3" w:rsidTr="002A1AEF">
        <w:trPr>
          <w:trHeight w:val="173"/>
        </w:trPr>
        <w:tc>
          <w:tcPr>
            <w:tcW w:w="15310" w:type="dxa"/>
            <w:gridSpan w:val="9"/>
            <w:shd w:val="clear" w:color="auto" w:fill="auto"/>
          </w:tcPr>
          <w:p w:rsidR="006B4E9E" w:rsidRPr="001D5247" w:rsidRDefault="006B4E9E" w:rsidP="00A95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2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  <w:tc>
          <w:tcPr>
            <w:tcW w:w="2822" w:type="dxa"/>
          </w:tcPr>
          <w:p w:rsidR="006B4E9E" w:rsidRPr="000379C3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4E9E" w:rsidRPr="000379C3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4E9E" w:rsidRPr="000379C3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4E9E" w:rsidRPr="000379C3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B4E9E" w:rsidRPr="000379C3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E9E" w:rsidRPr="000379C3" w:rsidTr="00566E83">
        <w:trPr>
          <w:gridAfter w:val="5"/>
          <w:wAfter w:w="13030" w:type="dxa"/>
          <w:trHeight w:val="1159"/>
        </w:trPr>
        <w:tc>
          <w:tcPr>
            <w:tcW w:w="561" w:type="dxa"/>
            <w:shd w:val="clear" w:color="auto" w:fill="auto"/>
          </w:tcPr>
          <w:p w:rsidR="006B4E9E" w:rsidRPr="000379C3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9C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08" w:type="dxa"/>
            <w:shd w:val="clear" w:color="auto" w:fill="auto"/>
          </w:tcPr>
          <w:p w:rsidR="006B4E9E" w:rsidRPr="001D5247" w:rsidRDefault="006B4E9E" w:rsidP="0010004A">
            <w:pPr>
              <w:pStyle w:val="4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Обеспечение равных условий доступа к информации о реализации муниципального имущества, путем размещения указанной информации на официальном сайте о проведении торгов Российской Федерации </w:t>
            </w:r>
            <w:r w:rsidRPr="001D5247">
              <w:rPr>
                <w:rStyle w:val="95pt0pt"/>
                <w:rFonts w:eastAsia="Arial"/>
                <w:color w:val="auto"/>
                <w:sz w:val="24"/>
                <w:szCs w:val="24"/>
                <w:lang w:bidi="en-US"/>
              </w:rPr>
              <w:t>(</w:t>
            </w:r>
            <w:hyperlink r:id="rId8" w:history="1">
              <w:r w:rsidRPr="001D5247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  <w:spacing w:val="0"/>
                  <w:sz w:val="24"/>
                  <w:szCs w:val="24"/>
                  <w:lang w:val="en-US" w:bidi="en-US"/>
                </w:rPr>
                <w:t>www</w:t>
              </w:r>
              <w:r w:rsidRPr="001D5247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  <w:spacing w:val="0"/>
                  <w:sz w:val="24"/>
                  <w:szCs w:val="24"/>
                  <w:lang w:bidi="en-US"/>
                </w:rPr>
                <w:t>.</w:t>
              </w:r>
              <w:proofErr w:type="spellStart"/>
              <w:r w:rsidRPr="001D5247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  <w:spacing w:val="0"/>
                  <w:sz w:val="24"/>
                  <w:szCs w:val="24"/>
                  <w:lang w:val="en-US" w:bidi="en-US"/>
                </w:rPr>
                <w:t>torgi</w:t>
              </w:r>
              <w:proofErr w:type="spellEnd"/>
              <w:r w:rsidRPr="001D5247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  <w:spacing w:val="0"/>
                  <w:sz w:val="24"/>
                  <w:szCs w:val="24"/>
                  <w:lang w:bidi="en-US"/>
                </w:rPr>
                <w:t>.</w:t>
              </w:r>
              <w:proofErr w:type="spellStart"/>
              <w:r w:rsidRPr="001D5247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  <w:spacing w:val="0"/>
                  <w:sz w:val="24"/>
                  <w:szCs w:val="24"/>
                  <w:lang w:val="en-US" w:bidi="en-US"/>
                </w:rPr>
                <w:t>gov</w:t>
              </w:r>
              <w:proofErr w:type="spellEnd"/>
              <w:r w:rsidRPr="001D5247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  <w:spacing w:val="0"/>
                  <w:sz w:val="24"/>
                  <w:szCs w:val="24"/>
                  <w:lang w:bidi="en-US"/>
                </w:rPr>
                <w:t>.</w:t>
              </w:r>
              <w:r w:rsidRPr="001D5247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  <w:spacing w:val="0"/>
                  <w:sz w:val="24"/>
                  <w:szCs w:val="24"/>
                  <w:lang w:val="en-US" w:bidi="en-US"/>
                </w:rPr>
                <w:t>ru</w:t>
              </w:r>
            </w:hyperlink>
            <w:r w:rsidRPr="001D5247">
              <w:rPr>
                <w:rStyle w:val="95pt0pt"/>
                <w:rFonts w:eastAsia="Arial"/>
                <w:color w:val="auto"/>
                <w:sz w:val="24"/>
                <w:szCs w:val="24"/>
                <w:lang w:bidi="en-US"/>
              </w:rPr>
              <w:t xml:space="preserve">) </w:t>
            </w:r>
            <w:r w:rsidRPr="001D5247">
              <w:rPr>
                <w:rStyle w:val="95pt0pt"/>
                <w:rFonts w:eastAsia="Arial"/>
                <w:color w:val="auto"/>
                <w:sz w:val="24"/>
                <w:szCs w:val="24"/>
              </w:rPr>
              <w:t>и на официальном сай</w:t>
            </w:r>
            <w:r w:rsidR="0010004A" w:rsidRPr="001D5247">
              <w:rPr>
                <w:rStyle w:val="95pt0pt"/>
                <w:rFonts w:eastAsia="Arial"/>
                <w:color w:val="auto"/>
                <w:sz w:val="24"/>
                <w:szCs w:val="24"/>
              </w:rPr>
              <w:t>т</w:t>
            </w:r>
            <w:r w:rsidRPr="001D5247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е </w:t>
            </w:r>
            <w:r w:rsidRPr="001D5247">
              <w:rPr>
                <w:rStyle w:val="ArialNarrow9pt0pt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Сосновоборского городского округа</w:t>
            </w:r>
            <w:r w:rsidRPr="001D5247">
              <w:rPr>
                <w:rStyle w:val="95pt0pt"/>
                <w:rFonts w:eastAsia="Arial"/>
                <w:b/>
                <w:color w:val="auto"/>
                <w:sz w:val="24"/>
                <w:szCs w:val="24"/>
              </w:rPr>
              <w:t xml:space="preserve"> </w:t>
            </w:r>
            <w:r w:rsidRPr="001D5247">
              <w:rPr>
                <w:rStyle w:val="95pt0pt"/>
                <w:rFonts w:eastAsia="Arial"/>
                <w:color w:val="auto"/>
                <w:sz w:val="24"/>
                <w:szCs w:val="24"/>
              </w:rPr>
              <w:t>в сети «Интернет</w:t>
            </w:r>
            <w:r w:rsidRPr="001D5247">
              <w:rPr>
                <w:rStyle w:val="95pt0pt"/>
                <w:rFonts w:eastAsia="Arial"/>
                <w:b/>
                <w:color w:val="auto"/>
                <w:sz w:val="24"/>
                <w:szCs w:val="24"/>
              </w:rPr>
              <w:t>»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6B4E9E" w:rsidRPr="001D5247" w:rsidRDefault="006B4E9E" w:rsidP="00A95083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 w:rsidRPr="001D5247">
              <w:rPr>
                <w:rStyle w:val="95pt0pt"/>
                <w:rFonts w:eastAsia="Arial"/>
                <w:color w:val="auto"/>
                <w:sz w:val="24"/>
                <w:szCs w:val="24"/>
              </w:rPr>
              <w:t>Количество объявленных аукционов, ед.</w:t>
            </w:r>
          </w:p>
        </w:tc>
        <w:tc>
          <w:tcPr>
            <w:tcW w:w="889" w:type="dxa"/>
            <w:shd w:val="clear" w:color="auto" w:fill="auto"/>
          </w:tcPr>
          <w:p w:rsidR="006B4E9E" w:rsidRPr="001D5247" w:rsidRDefault="001A6746" w:rsidP="00DD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55" w:type="dxa"/>
            <w:gridSpan w:val="3"/>
            <w:shd w:val="clear" w:color="auto" w:fill="auto"/>
          </w:tcPr>
          <w:p w:rsidR="006B4E9E" w:rsidRPr="001D5247" w:rsidRDefault="00AD594D" w:rsidP="00DD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shd w:val="clear" w:color="auto" w:fill="auto"/>
          </w:tcPr>
          <w:p w:rsidR="006B4E9E" w:rsidRPr="001D5247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B4E9E" w:rsidRPr="001D5247" w:rsidRDefault="006B4E9E" w:rsidP="00AB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E9E" w:rsidRPr="000379C3" w:rsidTr="00566E83">
        <w:trPr>
          <w:gridAfter w:val="5"/>
          <w:wAfter w:w="13030" w:type="dxa"/>
          <w:trHeight w:val="1200"/>
        </w:trPr>
        <w:tc>
          <w:tcPr>
            <w:tcW w:w="561" w:type="dxa"/>
            <w:shd w:val="clear" w:color="auto" w:fill="auto"/>
          </w:tcPr>
          <w:p w:rsidR="006B4E9E" w:rsidRPr="000379C3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9C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08" w:type="dxa"/>
            <w:shd w:val="clear" w:color="auto" w:fill="auto"/>
          </w:tcPr>
          <w:p w:rsidR="006B4E9E" w:rsidRPr="001D5247" w:rsidRDefault="006B4E9E" w:rsidP="00A95083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 w:rsidRPr="001D5247">
              <w:rPr>
                <w:rStyle w:val="95pt0pt"/>
                <w:rFonts w:eastAsia="Arial"/>
                <w:color w:val="auto"/>
                <w:sz w:val="24"/>
                <w:szCs w:val="24"/>
              </w:rPr>
              <w:t>Снижение количества</w:t>
            </w:r>
          </w:p>
          <w:p w:rsidR="006B4E9E" w:rsidRPr="001D5247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  <w:t xml:space="preserve">муниципальных унитарных предприятий </w:t>
            </w:r>
            <w:r w:rsidRPr="001D5247">
              <w:rPr>
                <w:rStyle w:val="ArialNarrow9pt0pt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Сосновоборского городского округа</w:t>
            </w:r>
          </w:p>
        </w:tc>
        <w:tc>
          <w:tcPr>
            <w:tcW w:w="3894" w:type="dxa"/>
            <w:shd w:val="clear" w:color="auto" w:fill="auto"/>
          </w:tcPr>
          <w:p w:rsidR="006B4E9E" w:rsidRPr="001D5247" w:rsidRDefault="006B4E9E" w:rsidP="00A95083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 w:rsidRPr="001D5247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Количество </w:t>
            </w:r>
            <w:proofErr w:type="gramStart"/>
            <w:r w:rsidRPr="001D5247">
              <w:rPr>
                <w:rStyle w:val="95pt0pt"/>
                <w:rFonts w:eastAsia="Arial"/>
                <w:color w:val="auto"/>
                <w:sz w:val="24"/>
                <w:szCs w:val="24"/>
              </w:rPr>
              <w:t>действующих</w:t>
            </w:r>
            <w:proofErr w:type="gramEnd"/>
          </w:p>
          <w:p w:rsidR="006B4E9E" w:rsidRPr="001D5247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  <w:t>муниципальных унитарных предприятий, ед.</w:t>
            </w:r>
          </w:p>
        </w:tc>
        <w:tc>
          <w:tcPr>
            <w:tcW w:w="889" w:type="dxa"/>
            <w:shd w:val="clear" w:color="auto" w:fill="auto"/>
          </w:tcPr>
          <w:p w:rsidR="006B4E9E" w:rsidRPr="001D5247" w:rsidRDefault="001A6746" w:rsidP="00DD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3"/>
            <w:shd w:val="clear" w:color="auto" w:fill="auto"/>
          </w:tcPr>
          <w:p w:rsidR="006B4E9E" w:rsidRPr="001D5247" w:rsidRDefault="001D5247" w:rsidP="00DD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407" w:type="dxa"/>
            <w:shd w:val="clear" w:color="auto" w:fill="auto"/>
          </w:tcPr>
          <w:p w:rsidR="006B4E9E" w:rsidRPr="001D5247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B4E9E" w:rsidRPr="001D5247" w:rsidRDefault="006B4E9E" w:rsidP="00AB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E9E" w:rsidRPr="000379C3" w:rsidTr="00566E83">
        <w:trPr>
          <w:gridAfter w:val="5"/>
          <w:wAfter w:w="13030" w:type="dxa"/>
          <w:trHeight w:val="282"/>
        </w:trPr>
        <w:tc>
          <w:tcPr>
            <w:tcW w:w="561" w:type="dxa"/>
            <w:shd w:val="clear" w:color="auto" w:fill="auto"/>
          </w:tcPr>
          <w:p w:rsidR="006B4E9E" w:rsidRPr="000379C3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9C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608" w:type="dxa"/>
            <w:shd w:val="clear" w:color="auto" w:fill="auto"/>
          </w:tcPr>
          <w:p w:rsidR="006B4E9E" w:rsidRPr="001D5247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  <w:t>Выход муниципального образования из учредителей хозяйственных обществ (товариществ), которые фактически прекратили свою деятельность или являются нерентабельными и не выплачивают учредителям дивиденды (часть прибыли)</w:t>
            </w:r>
          </w:p>
        </w:tc>
        <w:tc>
          <w:tcPr>
            <w:tcW w:w="3894" w:type="dxa"/>
            <w:shd w:val="clear" w:color="auto" w:fill="auto"/>
          </w:tcPr>
          <w:p w:rsidR="006B4E9E" w:rsidRPr="001D5247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  <w:t>Количество хозяйственных обществ (товариществ), из которых осуществлен выход муниципального образования</w:t>
            </w:r>
          </w:p>
        </w:tc>
        <w:tc>
          <w:tcPr>
            <w:tcW w:w="889" w:type="dxa"/>
            <w:shd w:val="clear" w:color="auto" w:fill="auto"/>
          </w:tcPr>
          <w:p w:rsidR="006B4E9E" w:rsidRPr="001D5247" w:rsidRDefault="001A6746" w:rsidP="00DD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3"/>
            <w:shd w:val="clear" w:color="auto" w:fill="auto"/>
          </w:tcPr>
          <w:p w:rsidR="006B4E9E" w:rsidRPr="001D5247" w:rsidRDefault="00AD594D" w:rsidP="00DD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  <w:shd w:val="clear" w:color="auto" w:fill="auto"/>
          </w:tcPr>
          <w:p w:rsidR="006B4E9E" w:rsidRPr="001D5247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B4E9E" w:rsidRPr="001D5247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E9E" w:rsidRPr="000379C3" w:rsidTr="00566E83">
        <w:trPr>
          <w:gridAfter w:val="5"/>
          <w:wAfter w:w="13030" w:type="dxa"/>
          <w:trHeight w:val="2166"/>
        </w:trPr>
        <w:tc>
          <w:tcPr>
            <w:tcW w:w="561" w:type="dxa"/>
            <w:shd w:val="clear" w:color="auto" w:fill="auto"/>
          </w:tcPr>
          <w:p w:rsidR="006B4E9E" w:rsidRPr="000379C3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9C3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608" w:type="dxa"/>
            <w:shd w:val="clear" w:color="auto" w:fill="auto"/>
          </w:tcPr>
          <w:p w:rsidR="006B4E9E" w:rsidRPr="001D5247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3894" w:type="dxa"/>
            <w:shd w:val="clear" w:color="auto" w:fill="auto"/>
          </w:tcPr>
          <w:p w:rsidR="006B4E9E" w:rsidRPr="001D5247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Style w:val="95pt0pt"/>
                <w:rFonts w:eastAsia="Arial"/>
                <w:b w:val="0"/>
                <w:color w:val="auto"/>
                <w:sz w:val="24"/>
                <w:szCs w:val="24"/>
              </w:rPr>
              <w:t>Количество субъектов малого и среднего предпринимательства, получивших имущество (в том числе земельные участки) в пользование на льготных условиях, ед.</w:t>
            </w:r>
          </w:p>
        </w:tc>
        <w:tc>
          <w:tcPr>
            <w:tcW w:w="889" w:type="dxa"/>
            <w:shd w:val="clear" w:color="auto" w:fill="auto"/>
          </w:tcPr>
          <w:p w:rsidR="006B4E9E" w:rsidRPr="001D5247" w:rsidRDefault="006B4E9E" w:rsidP="00DD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3"/>
            <w:shd w:val="clear" w:color="auto" w:fill="auto"/>
          </w:tcPr>
          <w:p w:rsidR="006B4E9E" w:rsidRPr="001D5247" w:rsidRDefault="00AD594D" w:rsidP="00DD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shd w:val="clear" w:color="auto" w:fill="auto"/>
          </w:tcPr>
          <w:p w:rsidR="006B4E9E" w:rsidRPr="001D5247" w:rsidRDefault="006B4E9E" w:rsidP="00A9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6B4E9E" w:rsidRPr="001D5247" w:rsidRDefault="006B4E9E" w:rsidP="00AB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F94" w:rsidRPr="000379C3" w:rsidRDefault="005B6F94" w:rsidP="00DD6E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6F94" w:rsidRPr="000379C3" w:rsidSect="00432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AC" w:rsidRDefault="00C344AC" w:rsidP="00E47F7D">
      <w:pPr>
        <w:spacing w:after="0" w:line="240" w:lineRule="auto"/>
      </w:pPr>
      <w:r>
        <w:separator/>
      </w:r>
    </w:p>
  </w:endnote>
  <w:endnote w:type="continuationSeparator" w:id="0">
    <w:p w:rsidR="00C344AC" w:rsidRDefault="00C344AC" w:rsidP="00E4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94" w:rsidRDefault="005B6F9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94" w:rsidRDefault="005B6F9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94" w:rsidRDefault="005B6F9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AC" w:rsidRDefault="00C344AC" w:rsidP="00E47F7D">
      <w:pPr>
        <w:spacing w:after="0" w:line="240" w:lineRule="auto"/>
      </w:pPr>
      <w:r>
        <w:separator/>
      </w:r>
    </w:p>
  </w:footnote>
  <w:footnote w:type="continuationSeparator" w:id="0">
    <w:p w:rsidR="00C344AC" w:rsidRDefault="00C344AC" w:rsidP="00E4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94" w:rsidRDefault="005B6F9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C" w:rsidRDefault="00E15B1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94" w:rsidRDefault="005B6F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6D2"/>
    <w:multiLevelType w:val="hybridMultilevel"/>
    <w:tmpl w:val="8F6A3AB2"/>
    <w:lvl w:ilvl="0" w:tplc="821006CE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>
    <w:nsid w:val="26F421C1"/>
    <w:multiLevelType w:val="hybridMultilevel"/>
    <w:tmpl w:val="847AC80A"/>
    <w:lvl w:ilvl="0" w:tplc="9D84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2658CC"/>
    <w:multiLevelType w:val="hybridMultilevel"/>
    <w:tmpl w:val="8F6A3AB2"/>
    <w:lvl w:ilvl="0" w:tplc="82100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E81D85"/>
    <w:multiLevelType w:val="hybridMultilevel"/>
    <w:tmpl w:val="6D0E4D00"/>
    <w:lvl w:ilvl="0" w:tplc="9C063F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41c8d4f-ffd7-415a-87fa-28edf22f2211"/>
  </w:docVars>
  <w:rsids>
    <w:rsidRoot w:val="00586C40"/>
    <w:rsid w:val="000012AD"/>
    <w:rsid w:val="0001563F"/>
    <w:rsid w:val="00020F10"/>
    <w:rsid w:val="0002111E"/>
    <w:rsid w:val="00025A50"/>
    <w:rsid w:val="00030603"/>
    <w:rsid w:val="000379C3"/>
    <w:rsid w:val="000625C7"/>
    <w:rsid w:val="00064B1C"/>
    <w:rsid w:val="00067EB0"/>
    <w:rsid w:val="0007034B"/>
    <w:rsid w:val="00082A30"/>
    <w:rsid w:val="000862EA"/>
    <w:rsid w:val="000871F6"/>
    <w:rsid w:val="00096AB9"/>
    <w:rsid w:val="000B458E"/>
    <w:rsid w:val="000B4919"/>
    <w:rsid w:val="000B61A5"/>
    <w:rsid w:val="000C2C6F"/>
    <w:rsid w:val="000C6522"/>
    <w:rsid w:val="000D4395"/>
    <w:rsid w:val="000E4A82"/>
    <w:rsid w:val="000F192A"/>
    <w:rsid w:val="000F326F"/>
    <w:rsid w:val="000F7402"/>
    <w:rsid w:val="0010004A"/>
    <w:rsid w:val="001178BA"/>
    <w:rsid w:val="00134E89"/>
    <w:rsid w:val="00145536"/>
    <w:rsid w:val="00163EA0"/>
    <w:rsid w:val="00166694"/>
    <w:rsid w:val="00176376"/>
    <w:rsid w:val="00193A9C"/>
    <w:rsid w:val="001A59DD"/>
    <w:rsid w:val="001A6746"/>
    <w:rsid w:val="001C5BE9"/>
    <w:rsid w:val="001D16E6"/>
    <w:rsid w:val="001D5247"/>
    <w:rsid w:val="001E0B5B"/>
    <w:rsid w:val="001E620B"/>
    <w:rsid w:val="001E73E1"/>
    <w:rsid w:val="00205BB1"/>
    <w:rsid w:val="00207FBE"/>
    <w:rsid w:val="00210387"/>
    <w:rsid w:val="002201F1"/>
    <w:rsid w:val="0022529C"/>
    <w:rsid w:val="00225827"/>
    <w:rsid w:val="00230D0E"/>
    <w:rsid w:val="00232A5C"/>
    <w:rsid w:val="002337A4"/>
    <w:rsid w:val="00243C3A"/>
    <w:rsid w:val="0024561E"/>
    <w:rsid w:val="00250503"/>
    <w:rsid w:val="00252050"/>
    <w:rsid w:val="00261DF2"/>
    <w:rsid w:val="002634A5"/>
    <w:rsid w:val="0026427F"/>
    <w:rsid w:val="0027531D"/>
    <w:rsid w:val="002867BA"/>
    <w:rsid w:val="00292741"/>
    <w:rsid w:val="002A1AEF"/>
    <w:rsid w:val="002A4248"/>
    <w:rsid w:val="002B0BB7"/>
    <w:rsid w:val="002C4B50"/>
    <w:rsid w:val="002D65F4"/>
    <w:rsid w:val="002E584D"/>
    <w:rsid w:val="002F1DB0"/>
    <w:rsid w:val="002F21C7"/>
    <w:rsid w:val="002F29C8"/>
    <w:rsid w:val="002F5B84"/>
    <w:rsid w:val="0030182D"/>
    <w:rsid w:val="00304E80"/>
    <w:rsid w:val="00310D96"/>
    <w:rsid w:val="0031485C"/>
    <w:rsid w:val="00323918"/>
    <w:rsid w:val="0032606C"/>
    <w:rsid w:val="003305EE"/>
    <w:rsid w:val="0033180E"/>
    <w:rsid w:val="00332CBA"/>
    <w:rsid w:val="0033431A"/>
    <w:rsid w:val="00341487"/>
    <w:rsid w:val="003445B9"/>
    <w:rsid w:val="0035688A"/>
    <w:rsid w:val="003601CC"/>
    <w:rsid w:val="00367D16"/>
    <w:rsid w:val="00371435"/>
    <w:rsid w:val="0037524A"/>
    <w:rsid w:val="003771B6"/>
    <w:rsid w:val="003777DC"/>
    <w:rsid w:val="003876C9"/>
    <w:rsid w:val="00392741"/>
    <w:rsid w:val="00392B84"/>
    <w:rsid w:val="00396D0A"/>
    <w:rsid w:val="003970CD"/>
    <w:rsid w:val="003B1186"/>
    <w:rsid w:val="003B4068"/>
    <w:rsid w:val="003C06EC"/>
    <w:rsid w:val="003C3B72"/>
    <w:rsid w:val="003C7B64"/>
    <w:rsid w:val="003D25F8"/>
    <w:rsid w:val="003D3F68"/>
    <w:rsid w:val="003D46EC"/>
    <w:rsid w:val="003E2140"/>
    <w:rsid w:val="003E4816"/>
    <w:rsid w:val="003E6E6E"/>
    <w:rsid w:val="003E7386"/>
    <w:rsid w:val="003F20EC"/>
    <w:rsid w:val="003F4495"/>
    <w:rsid w:val="00403D93"/>
    <w:rsid w:val="00406361"/>
    <w:rsid w:val="00406C19"/>
    <w:rsid w:val="00407A9E"/>
    <w:rsid w:val="00424D3D"/>
    <w:rsid w:val="00425583"/>
    <w:rsid w:val="00432D24"/>
    <w:rsid w:val="0043678B"/>
    <w:rsid w:val="00445245"/>
    <w:rsid w:val="00447E87"/>
    <w:rsid w:val="004509B5"/>
    <w:rsid w:val="004625F0"/>
    <w:rsid w:val="004671AB"/>
    <w:rsid w:val="00475B36"/>
    <w:rsid w:val="004833AC"/>
    <w:rsid w:val="004839D8"/>
    <w:rsid w:val="0048516E"/>
    <w:rsid w:val="004933F6"/>
    <w:rsid w:val="004A088C"/>
    <w:rsid w:val="004B218E"/>
    <w:rsid w:val="004C0AA6"/>
    <w:rsid w:val="004C3CF1"/>
    <w:rsid w:val="004C6D6D"/>
    <w:rsid w:val="004D4A2A"/>
    <w:rsid w:val="004E27A6"/>
    <w:rsid w:val="004E4BD8"/>
    <w:rsid w:val="004F04A8"/>
    <w:rsid w:val="004F2047"/>
    <w:rsid w:val="004F5F76"/>
    <w:rsid w:val="00500315"/>
    <w:rsid w:val="00502FDB"/>
    <w:rsid w:val="005153EC"/>
    <w:rsid w:val="005171F6"/>
    <w:rsid w:val="00524A49"/>
    <w:rsid w:val="00526AA2"/>
    <w:rsid w:val="00527476"/>
    <w:rsid w:val="00535AFB"/>
    <w:rsid w:val="00560171"/>
    <w:rsid w:val="005641CF"/>
    <w:rsid w:val="005645F2"/>
    <w:rsid w:val="00565841"/>
    <w:rsid w:val="00566E83"/>
    <w:rsid w:val="0056769A"/>
    <w:rsid w:val="00572042"/>
    <w:rsid w:val="00572145"/>
    <w:rsid w:val="0057229F"/>
    <w:rsid w:val="0057692B"/>
    <w:rsid w:val="00585A3D"/>
    <w:rsid w:val="005861AC"/>
    <w:rsid w:val="00586C40"/>
    <w:rsid w:val="005B2748"/>
    <w:rsid w:val="005B6F94"/>
    <w:rsid w:val="005C145B"/>
    <w:rsid w:val="005C1D4B"/>
    <w:rsid w:val="005C29F7"/>
    <w:rsid w:val="005D4635"/>
    <w:rsid w:val="005E1157"/>
    <w:rsid w:val="005E3CDE"/>
    <w:rsid w:val="005F0A80"/>
    <w:rsid w:val="005F1264"/>
    <w:rsid w:val="005F1384"/>
    <w:rsid w:val="005F2490"/>
    <w:rsid w:val="005F7C53"/>
    <w:rsid w:val="00604921"/>
    <w:rsid w:val="0061114D"/>
    <w:rsid w:val="00611A56"/>
    <w:rsid w:val="00613116"/>
    <w:rsid w:val="00617F9C"/>
    <w:rsid w:val="006203EE"/>
    <w:rsid w:val="00620E8E"/>
    <w:rsid w:val="00633A20"/>
    <w:rsid w:val="00633C6D"/>
    <w:rsid w:val="0064307A"/>
    <w:rsid w:val="00646870"/>
    <w:rsid w:val="00650031"/>
    <w:rsid w:val="00650640"/>
    <w:rsid w:val="00656437"/>
    <w:rsid w:val="00664743"/>
    <w:rsid w:val="0066725A"/>
    <w:rsid w:val="00672695"/>
    <w:rsid w:val="00676E60"/>
    <w:rsid w:val="006918AF"/>
    <w:rsid w:val="00692F01"/>
    <w:rsid w:val="00694E5A"/>
    <w:rsid w:val="006954B3"/>
    <w:rsid w:val="006A6D4F"/>
    <w:rsid w:val="006A6E26"/>
    <w:rsid w:val="006B0FAB"/>
    <w:rsid w:val="006B10D3"/>
    <w:rsid w:val="006B22BB"/>
    <w:rsid w:val="006B4E9E"/>
    <w:rsid w:val="006C1AA9"/>
    <w:rsid w:val="006C1B14"/>
    <w:rsid w:val="006E6118"/>
    <w:rsid w:val="006E7DF2"/>
    <w:rsid w:val="006F5377"/>
    <w:rsid w:val="006F6A95"/>
    <w:rsid w:val="00704416"/>
    <w:rsid w:val="00706063"/>
    <w:rsid w:val="0072624F"/>
    <w:rsid w:val="0073178D"/>
    <w:rsid w:val="00735005"/>
    <w:rsid w:val="00736A17"/>
    <w:rsid w:val="0074661D"/>
    <w:rsid w:val="00747FF9"/>
    <w:rsid w:val="0076118B"/>
    <w:rsid w:val="00764E27"/>
    <w:rsid w:val="00765D9A"/>
    <w:rsid w:val="007706D7"/>
    <w:rsid w:val="00773F5A"/>
    <w:rsid w:val="0078089F"/>
    <w:rsid w:val="00785800"/>
    <w:rsid w:val="007A4899"/>
    <w:rsid w:val="007A5016"/>
    <w:rsid w:val="007A5C48"/>
    <w:rsid w:val="007A7615"/>
    <w:rsid w:val="007B677C"/>
    <w:rsid w:val="007B74C4"/>
    <w:rsid w:val="007C54E5"/>
    <w:rsid w:val="007C65C4"/>
    <w:rsid w:val="007D07A3"/>
    <w:rsid w:val="007D5DB7"/>
    <w:rsid w:val="007D7D62"/>
    <w:rsid w:val="007E7775"/>
    <w:rsid w:val="007F19F9"/>
    <w:rsid w:val="007F28D9"/>
    <w:rsid w:val="008026A6"/>
    <w:rsid w:val="00806C59"/>
    <w:rsid w:val="00813D5A"/>
    <w:rsid w:val="00815BD6"/>
    <w:rsid w:val="008250F6"/>
    <w:rsid w:val="0083079C"/>
    <w:rsid w:val="00833A3F"/>
    <w:rsid w:val="00845BC8"/>
    <w:rsid w:val="008571CF"/>
    <w:rsid w:val="00861C76"/>
    <w:rsid w:val="00867FEC"/>
    <w:rsid w:val="00876F78"/>
    <w:rsid w:val="008826A1"/>
    <w:rsid w:val="008918DC"/>
    <w:rsid w:val="00893E81"/>
    <w:rsid w:val="008A0814"/>
    <w:rsid w:val="008A6098"/>
    <w:rsid w:val="008B5610"/>
    <w:rsid w:val="008B708A"/>
    <w:rsid w:val="008B7E2D"/>
    <w:rsid w:val="008C14EF"/>
    <w:rsid w:val="008C42FF"/>
    <w:rsid w:val="008C5C0F"/>
    <w:rsid w:val="008D2AB5"/>
    <w:rsid w:val="008D3CC0"/>
    <w:rsid w:val="008D5FAC"/>
    <w:rsid w:val="008F1A43"/>
    <w:rsid w:val="008F5568"/>
    <w:rsid w:val="00903036"/>
    <w:rsid w:val="00916B78"/>
    <w:rsid w:val="00935C1A"/>
    <w:rsid w:val="00935C9E"/>
    <w:rsid w:val="00937771"/>
    <w:rsid w:val="00940788"/>
    <w:rsid w:val="00961543"/>
    <w:rsid w:val="00964A46"/>
    <w:rsid w:val="00971521"/>
    <w:rsid w:val="0097396A"/>
    <w:rsid w:val="0097573C"/>
    <w:rsid w:val="00982099"/>
    <w:rsid w:val="009829D5"/>
    <w:rsid w:val="00982A13"/>
    <w:rsid w:val="00985C19"/>
    <w:rsid w:val="00986D45"/>
    <w:rsid w:val="00987427"/>
    <w:rsid w:val="00990EA9"/>
    <w:rsid w:val="009936DA"/>
    <w:rsid w:val="00995A76"/>
    <w:rsid w:val="009A06D3"/>
    <w:rsid w:val="009A37C1"/>
    <w:rsid w:val="009A554B"/>
    <w:rsid w:val="009B4D0D"/>
    <w:rsid w:val="009B4D26"/>
    <w:rsid w:val="009B611E"/>
    <w:rsid w:val="009C4502"/>
    <w:rsid w:val="009D3FC1"/>
    <w:rsid w:val="009E4DAD"/>
    <w:rsid w:val="009E682B"/>
    <w:rsid w:val="009E7F78"/>
    <w:rsid w:val="009F70C7"/>
    <w:rsid w:val="00A0404A"/>
    <w:rsid w:val="00A06AF1"/>
    <w:rsid w:val="00A11DFA"/>
    <w:rsid w:val="00A30437"/>
    <w:rsid w:val="00A3244B"/>
    <w:rsid w:val="00A34AC8"/>
    <w:rsid w:val="00A36252"/>
    <w:rsid w:val="00A37528"/>
    <w:rsid w:val="00A467EE"/>
    <w:rsid w:val="00A52D47"/>
    <w:rsid w:val="00A55A20"/>
    <w:rsid w:val="00A56ABC"/>
    <w:rsid w:val="00A56E50"/>
    <w:rsid w:val="00A576EF"/>
    <w:rsid w:val="00A6104D"/>
    <w:rsid w:val="00A633F0"/>
    <w:rsid w:val="00A6390C"/>
    <w:rsid w:val="00A66654"/>
    <w:rsid w:val="00A66A21"/>
    <w:rsid w:val="00A76620"/>
    <w:rsid w:val="00A90FFA"/>
    <w:rsid w:val="00A95083"/>
    <w:rsid w:val="00AB065B"/>
    <w:rsid w:val="00AB26BB"/>
    <w:rsid w:val="00AB7CAF"/>
    <w:rsid w:val="00AD594D"/>
    <w:rsid w:val="00AD6718"/>
    <w:rsid w:val="00AE2DB7"/>
    <w:rsid w:val="00AE5A40"/>
    <w:rsid w:val="00B00766"/>
    <w:rsid w:val="00B01F06"/>
    <w:rsid w:val="00B02ABD"/>
    <w:rsid w:val="00B10D6F"/>
    <w:rsid w:val="00B130CB"/>
    <w:rsid w:val="00B13846"/>
    <w:rsid w:val="00B20ADD"/>
    <w:rsid w:val="00B23A71"/>
    <w:rsid w:val="00B25527"/>
    <w:rsid w:val="00B33221"/>
    <w:rsid w:val="00B3484F"/>
    <w:rsid w:val="00B35E8C"/>
    <w:rsid w:val="00B40F02"/>
    <w:rsid w:val="00B5117D"/>
    <w:rsid w:val="00B54B5F"/>
    <w:rsid w:val="00B65202"/>
    <w:rsid w:val="00B8072C"/>
    <w:rsid w:val="00B842CC"/>
    <w:rsid w:val="00B85984"/>
    <w:rsid w:val="00B8767E"/>
    <w:rsid w:val="00B9322C"/>
    <w:rsid w:val="00B9353B"/>
    <w:rsid w:val="00B95748"/>
    <w:rsid w:val="00BA6146"/>
    <w:rsid w:val="00BC11FD"/>
    <w:rsid w:val="00BC4C56"/>
    <w:rsid w:val="00BC5124"/>
    <w:rsid w:val="00BD26AC"/>
    <w:rsid w:val="00BD45D4"/>
    <w:rsid w:val="00BD79A8"/>
    <w:rsid w:val="00BD7A9D"/>
    <w:rsid w:val="00BF5F9E"/>
    <w:rsid w:val="00BF7923"/>
    <w:rsid w:val="00C04E27"/>
    <w:rsid w:val="00C057C2"/>
    <w:rsid w:val="00C24B04"/>
    <w:rsid w:val="00C25CDC"/>
    <w:rsid w:val="00C33449"/>
    <w:rsid w:val="00C344AC"/>
    <w:rsid w:val="00C35344"/>
    <w:rsid w:val="00C41A9B"/>
    <w:rsid w:val="00C43E43"/>
    <w:rsid w:val="00C46363"/>
    <w:rsid w:val="00C578D2"/>
    <w:rsid w:val="00C60A59"/>
    <w:rsid w:val="00C60AD2"/>
    <w:rsid w:val="00C63101"/>
    <w:rsid w:val="00C63858"/>
    <w:rsid w:val="00C673F8"/>
    <w:rsid w:val="00C81244"/>
    <w:rsid w:val="00C8332E"/>
    <w:rsid w:val="00C85063"/>
    <w:rsid w:val="00CA328A"/>
    <w:rsid w:val="00CB3A09"/>
    <w:rsid w:val="00CB6B2C"/>
    <w:rsid w:val="00CC31A6"/>
    <w:rsid w:val="00CE117C"/>
    <w:rsid w:val="00CF0FF1"/>
    <w:rsid w:val="00CF1D37"/>
    <w:rsid w:val="00CF6D5D"/>
    <w:rsid w:val="00D0088E"/>
    <w:rsid w:val="00D05682"/>
    <w:rsid w:val="00D07B9D"/>
    <w:rsid w:val="00D4638E"/>
    <w:rsid w:val="00D503A2"/>
    <w:rsid w:val="00D50869"/>
    <w:rsid w:val="00D5224B"/>
    <w:rsid w:val="00D70C77"/>
    <w:rsid w:val="00D75A57"/>
    <w:rsid w:val="00D9005F"/>
    <w:rsid w:val="00D90B43"/>
    <w:rsid w:val="00DB339B"/>
    <w:rsid w:val="00DB4719"/>
    <w:rsid w:val="00DB69A7"/>
    <w:rsid w:val="00DC0C64"/>
    <w:rsid w:val="00DC1385"/>
    <w:rsid w:val="00DC2FF4"/>
    <w:rsid w:val="00DD6E30"/>
    <w:rsid w:val="00DE4D1A"/>
    <w:rsid w:val="00DE58B9"/>
    <w:rsid w:val="00DF27AC"/>
    <w:rsid w:val="00DF5244"/>
    <w:rsid w:val="00E11E21"/>
    <w:rsid w:val="00E15B1C"/>
    <w:rsid w:val="00E20B70"/>
    <w:rsid w:val="00E214F0"/>
    <w:rsid w:val="00E362DF"/>
    <w:rsid w:val="00E4185A"/>
    <w:rsid w:val="00E42D8A"/>
    <w:rsid w:val="00E47F7D"/>
    <w:rsid w:val="00E52DA5"/>
    <w:rsid w:val="00E573CC"/>
    <w:rsid w:val="00E579AD"/>
    <w:rsid w:val="00E62BE6"/>
    <w:rsid w:val="00E665C8"/>
    <w:rsid w:val="00E72B8B"/>
    <w:rsid w:val="00E736D2"/>
    <w:rsid w:val="00E84F21"/>
    <w:rsid w:val="00EB1075"/>
    <w:rsid w:val="00EB47E2"/>
    <w:rsid w:val="00EB67F2"/>
    <w:rsid w:val="00EB6E5F"/>
    <w:rsid w:val="00EC0165"/>
    <w:rsid w:val="00EC2C08"/>
    <w:rsid w:val="00EC5CD1"/>
    <w:rsid w:val="00EC675A"/>
    <w:rsid w:val="00EE51DC"/>
    <w:rsid w:val="00EF0524"/>
    <w:rsid w:val="00EF0CAA"/>
    <w:rsid w:val="00EF1F40"/>
    <w:rsid w:val="00F03BC5"/>
    <w:rsid w:val="00F03F0E"/>
    <w:rsid w:val="00F056BA"/>
    <w:rsid w:val="00F0726A"/>
    <w:rsid w:val="00F12B13"/>
    <w:rsid w:val="00F15D8F"/>
    <w:rsid w:val="00F228A8"/>
    <w:rsid w:val="00F23F16"/>
    <w:rsid w:val="00F369D8"/>
    <w:rsid w:val="00F36D69"/>
    <w:rsid w:val="00F459AB"/>
    <w:rsid w:val="00F63822"/>
    <w:rsid w:val="00F65216"/>
    <w:rsid w:val="00F718FD"/>
    <w:rsid w:val="00F75268"/>
    <w:rsid w:val="00F75B57"/>
    <w:rsid w:val="00F81BD9"/>
    <w:rsid w:val="00F827C0"/>
    <w:rsid w:val="00F8546C"/>
    <w:rsid w:val="00F90594"/>
    <w:rsid w:val="00FA1223"/>
    <w:rsid w:val="00FA456C"/>
    <w:rsid w:val="00FA5457"/>
    <w:rsid w:val="00FB0661"/>
    <w:rsid w:val="00FB0C2B"/>
    <w:rsid w:val="00FB2452"/>
    <w:rsid w:val="00FB2D70"/>
    <w:rsid w:val="00FD73CB"/>
    <w:rsid w:val="00FE0F1C"/>
    <w:rsid w:val="00FE4204"/>
    <w:rsid w:val="00FF04C7"/>
    <w:rsid w:val="00F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F556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rsid w:val="008F5568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6B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B9353B"/>
    <w:rPr>
      <w:b/>
      <w:bCs/>
    </w:rPr>
  </w:style>
  <w:style w:type="character" w:styleId="a7">
    <w:name w:val="Hyperlink"/>
    <w:uiPriority w:val="99"/>
    <w:unhideWhenUsed/>
    <w:rsid w:val="007F19F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7F19F9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E47F7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E47F7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47F7D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E47F7D"/>
    <w:rPr>
      <w:sz w:val="22"/>
      <w:szCs w:val="22"/>
      <w:lang w:eastAsia="en-US"/>
    </w:rPr>
  </w:style>
  <w:style w:type="character" w:customStyle="1" w:styleId="ad">
    <w:name w:val="Основной текст_"/>
    <w:basedOn w:val="a0"/>
    <w:link w:val="4"/>
    <w:rsid w:val="00FE4204"/>
    <w:rPr>
      <w:b/>
      <w:bCs/>
      <w:spacing w:val="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d"/>
    <w:rsid w:val="00FE4204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E4204"/>
    <w:pPr>
      <w:widowControl w:val="0"/>
      <w:shd w:val="clear" w:color="auto" w:fill="FFFFFF"/>
      <w:spacing w:after="300" w:line="322" w:lineRule="exact"/>
      <w:ind w:hanging="560"/>
    </w:pPr>
    <w:rPr>
      <w:b/>
      <w:bCs/>
      <w:spacing w:val="5"/>
      <w:sz w:val="23"/>
      <w:szCs w:val="23"/>
      <w:lang w:eastAsia="ru-RU"/>
    </w:rPr>
  </w:style>
  <w:style w:type="character" w:customStyle="1" w:styleId="10pt0pt">
    <w:name w:val="Основной текст + 10 pt;Интервал 0 pt"/>
    <w:basedOn w:val="ad"/>
    <w:rsid w:val="00FE42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9pt0pt">
    <w:name w:val="Основной текст + Arial Narrow;9 pt;Интервал 0 pt"/>
    <w:basedOn w:val="ad"/>
    <w:rsid w:val="00FE4204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">
    <w:name w:val="Основной текст + 9;5 pt;Не полужирный;Интервал 0 pt"/>
    <w:basedOn w:val="ad"/>
    <w:rsid w:val="002E5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Интервал 0 pt"/>
    <w:basedOn w:val="ad"/>
    <w:rsid w:val="002E5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Основной текст + 10 pt"/>
    <w:aliases w:val="Интервал 0 pt,Основной текст + Arial Narrow,9 pt"/>
    <w:basedOn w:val="a0"/>
    <w:rsid w:val="005274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Не полужирный;Интервал 0 pt"/>
    <w:basedOn w:val="ad"/>
    <w:rsid w:val="00527476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4"/>
      <w:szCs w:val="1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AE23-7043-425C-9EA5-BFC9EC67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4999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Чувашев Иван Николаевич</dc:creator>
  <cp:lastModifiedBy>N</cp:lastModifiedBy>
  <cp:revision>5</cp:revision>
  <cp:lastPrinted>2021-04-21T06:33:00Z</cp:lastPrinted>
  <dcterms:created xsi:type="dcterms:W3CDTF">2021-04-21T12:26:00Z</dcterms:created>
  <dcterms:modified xsi:type="dcterms:W3CDTF">2021-04-21T12:28:00Z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b41c8d4f-ffd7-415a-87fa-28edf22f2211</vt:lpwstr>
  </property>
</Properties>
</file>