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00D39" w:rsidRDefault="00C10342">
      <w:pPr>
        <w:pStyle w:val="printredaction-line"/>
        <w:spacing w:line="276" w:lineRule="auto"/>
        <w:divId w:val="1388871435"/>
      </w:pPr>
      <w:r w:rsidRPr="00900D39">
        <w:t xml:space="preserve">Актуально на 13 </w:t>
      </w:r>
      <w:proofErr w:type="spellStart"/>
      <w:r w:rsidRPr="00900D39">
        <w:t>фев</w:t>
      </w:r>
      <w:proofErr w:type="spellEnd"/>
      <w:r w:rsidRPr="00900D39">
        <w:t xml:space="preserve"> 2023</w:t>
      </w:r>
    </w:p>
    <w:p w:rsidR="00000000" w:rsidRPr="00900D39" w:rsidRDefault="00C10342">
      <w:pPr>
        <w:pStyle w:val="2"/>
        <w:spacing w:line="276" w:lineRule="auto"/>
        <w:divId w:val="1388871435"/>
        <w:rPr>
          <w:rFonts w:eastAsia="Times New Roman"/>
        </w:rPr>
      </w:pPr>
      <w:r w:rsidRPr="00900D39">
        <w:rPr>
          <w:rFonts w:eastAsia="Times New Roman"/>
        </w:rPr>
        <w:t>Шпаргалка для образовательных учреждений: ошибки и штрафы за нарушения</w:t>
      </w:r>
    </w:p>
    <w:p w:rsidR="00000000" w:rsidRPr="00900D39" w:rsidRDefault="00C10342">
      <w:pPr>
        <w:spacing w:line="276" w:lineRule="auto"/>
        <w:divId w:val="1665159614"/>
        <w:rPr>
          <w:rFonts w:eastAsia="Times New Roman"/>
        </w:rPr>
      </w:pPr>
      <w:r w:rsidRPr="00900D39">
        <w:rPr>
          <w:rFonts w:eastAsia="Times New Roman"/>
        </w:rPr>
        <w:t xml:space="preserve">В шпаргалке – ошибки, которые находят ревизоры в учреждениях образования. По каждому нарушению есть штрафы и разъяснения, которые помогут их избежать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598"/>
        <w:gridCol w:w="4360"/>
        <w:gridCol w:w="3912"/>
      </w:tblGrid>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jc w:val="center"/>
            </w:pPr>
            <w:r w:rsidRPr="00900D39">
              <w:rPr>
                <w:rStyle w:val="a4"/>
              </w:rPr>
              <w:t>В чем ошибк</w:t>
            </w:r>
            <w:r w:rsidRPr="00900D39">
              <w:rPr>
                <w:rStyle w:val="a4"/>
              </w:rPr>
              <w:t>а</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jc w:val="center"/>
            </w:pPr>
            <w:r w:rsidRPr="00900D39">
              <w:rPr>
                <w:rStyle w:val="a4"/>
              </w:rPr>
              <w:t>Как могут наказат</w:t>
            </w:r>
            <w:r w:rsidRPr="00900D39">
              <w:rPr>
                <w:rStyle w:val="a4"/>
              </w:rPr>
              <w:t>ь</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jc w:val="center"/>
            </w:pPr>
            <w:r w:rsidRPr="00900D39">
              <w:rPr>
                <w:rStyle w:val="a4"/>
              </w:rPr>
              <w:t>Как правильно работат</w:t>
            </w:r>
            <w:r w:rsidRPr="00900D39">
              <w:rPr>
                <w:rStyle w:val="a4"/>
              </w:rPr>
              <w:t>ь</w:t>
            </w:r>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Учет имуществ</w:t>
            </w:r>
            <w:r w:rsidRPr="00900D39">
              <w:rPr>
                <w:rFonts w:eastAsia="Times New Roman"/>
              </w:rPr>
              <w:t>а</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На</w:t>
            </w:r>
            <w:r w:rsidRPr="00900D39">
              <w:rPr>
                <w:rFonts w:eastAsia="Times New Roman"/>
              </w:rPr>
              <w:t xml:space="preserve"> </w:t>
            </w:r>
            <w:hyperlink r:id="rId6" w:anchor="/document/99/902249301/XA00M3C2MF/" w:tooltip="" w:history="1">
              <w:r w:rsidRPr="00900D39">
                <w:rPr>
                  <w:rStyle w:val="a5"/>
                  <w:rFonts w:eastAsia="Times New Roman"/>
                  <w:color w:val="auto"/>
                </w:rPr>
                <w:t>счете 101.00</w:t>
              </w:r>
            </w:hyperlink>
            <w:r w:rsidRPr="00900D39">
              <w:rPr>
                <w:rFonts w:eastAsia="Times New Roman"/>
              </w:rPr>
              <w:t xml:space="preserve"> </w:t>
            </w:r>
            <w:r w:rsidRPr="00900D39">
              <w:rPr>
                <w:rFonts w:eastAsia="Times New Roman"/>
              </w:rPr>
              <w:t xml:space="preserve">«Основные средства» числится имущество, которое следовало учесть в составе </w:t>
            </w:r>
            <w:proofErr w:type="spellStart"/>
            <w:r w:rsidRPr="00900D39">
              <w:rPr>
                <w:rFonts w:eastAsia="Times New Roman"/>
              </w:rPr>
              <w:t>матзапасов</w:t>
            </w:r>
            <w:proofErr w:type="spellEnd"/>
            <w:r w:rsidRPr="00900D39">
              <w:rPr>
                <w:rFonts w:eastAsia="Times New Roman"/>
              </w:rPr>
              <w:t xml:space="preserve"> на</w:t>
            </w:r>
            <w:r w:rsidRPr="00900D39">
              <w:rPr>
                <w:rFonts w:eastAsia="Times New Roman"/>
              </w:rPr>
              <w:t xml:space="preserve"> </w:t>
            </w:r>
            <w:hyperlink r:id="rId7" w:anchor="/document/99/902249301/XA00MGG2OA/" w:tooltip="" w:history="1">
              <w:r w:rsidRPr="00900D39">
                <w:rPr>
                  <w:rStyle w:val="a5"/>
                  <w:rFonts w:eastAsia="Times New Roman"/>
                  <w:color w:val="auto"/>
                </w:rPr>
                <w:t>счете 105.00</w:t>
              </w:r>
            </w:hyperlink>
            <w:r w:rsidRPr="00900D39">
              <w:rPr>
                <w:rFonts w:eastAsia="Times New Roman"/>
              </w:rPr>
              <w:t>, и наоборот</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 xml:space="preserve">Предупреждение или штраф за нарушение требований к </w:t>
            </w:r>
            <w:r w:rsidRPr="00900D39">
              <w:t xml:space="preserve">бухучету для должностных лиц от 1000 до 50 000 руб. </w:t>
            </w:r>
            <w:r w:rsidRPr="00900D39">
              <w:t>(</w:t>
            </w:r>
            <w:hyperlink r:id="rId8" w:anchor="/document/99/901807667/XA00RTK2PB/" w:tooltip="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history="1">
              <w:r w:rsidRPr="00900D39">
                <w:rPr>
                  <w:rStyle w:val="a5"/>
                  <w:color w:val="auto"/>
                </w:rPr>
                <w:t>ч. 2–7 ст. 15.15.6 КоАП</w:t>
              </w:r>
            </w:hyperlink>
            <w:r w:rsidRPr="00900D39">
              <w:t>).</w:t>
            </w:r>
            <w:r w:rsidRPr="00900D39">
              <w:t xml:space="preserve"> </w:t>
            </w:r>
            <w:hyperlink r:id="rId9" w:anchor="/document/16/101829/dfasu9h1z4/" w:tooltip="Нарушение требований к бухгалтерскому и бюджетному учету" w:history="1">
              <w:r w:rsidRPr="00900D39">
                <w:rPr>
                  <w:rStyle w:val="a5"/>
                  <w:color w:val="auto"/>
                </w:rPr>
                <w:t>Подробнее</w:t>
              </w:r>
            </w:hyperlink>
          </w:p>
          <w:p w:rsidR="00000000" w:rsidRPr="00900D39" w:rsidRDefault="00C10342">
            <w:pPr>
              <w:pStyle w:val="a3"/>
            </w:pPr>
            <w:r w:rsidRPr="00900D39">
              <w:t> </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10" w:anchor="/document/16/128866/" w:tooltip="" w:history="1">
              <w:r w:rsidRPr="00900D39">
                <w:rPr>
                  <w:rStyle w:val="a5"/>
                  <w:color w:val="auto"/>
                </w:rPr>
                <w:t>Какое имущество относить к основным средствам</w:t>
              </w:r>
            </w:hyperlink>
          </w:p>
          <w:p w:rsidR="00000000" w:rsidRPr="00900D39" w:rsidRDefault="00C10342">
            <w:pPr>
              <w:pStyle w:val="a3"/>
            </w:pPr>
            <w:hyperlink r:id="rId11" w:anchor="/document/86/541408/" w:tooltip="" w:history="1">
              <w:r w:rsidRPr="00900D39">
                <w:rPr>
                  <w:rStyle w:val="a5"/>
                  <w:color w:val="auto"/>
                </w:rPr>
                <w:t xml:space="preserve">Что относить к </w:t>
              </w:r>
              <w:proofErr w:type="spellStart"/>
              <w:r w:rsidRPr="00900D39">
                <w:rPr>
                  <w:rStyle w:val="a5"/>
                  <w:color w:val="auto"/>
                </w:rPr>
                <w:t>матзапасам</w:t>
              </w:r>
              <w:proofErr w:type="spellEnd"/>
              <w:r w:rsidRPr="00900D39">
                <w:rPr>
                  <w:rStyle w:val="a5"/>
                  <w:color w:val="auto"/>
                </w:rPr>
                <w:t xml:space="preserve"> и на каких </w:t>
              </w:r>
              <w:r w:rsidRPr="00900D39">
                <w:rPr>
                  <w:rStyle w:val="a5"/>
                  <w:color w:val="auto"/>
                </w:rPr>
                <w:t>счетах учесть</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Библиотечный фонд учитывают на</w:t>
            </w:r>
            <w:r w:rsidRPr="00900D39">
              <w:rPr>
                <w:rFonts w:eastAsia="Times New Roman"/>
              </w:rPr>
              <w:t xml:space="preserve"> </w:t>
            </w:r>
            <w:hyperlink r:id="rId12" w:anchor="/document/99/902249301/XA00M402MI/" w:tooltip="7 &quot;Биологические ресурсы&quot;;" w:history="1">
              <w:r w:rsidRPr="00900D39">
                <w:rPr>
                  <w:rStyle w:val="a5"/>
                  <w:rFonts w:eastAsia="Times New Roman"/>
                  <w:color w:val="auto"/>
                </w:rPr>
                <w:t>счете 101.37</w:t>
              </w:r>
            </w:hyperlink>
            <w:r w:rsidRPr="00900D39">
              <w:rPr>
                <w:rFonts w:eastAsia="Times New Roman"/>
              </w:rPr>
              <w:t xml:space="preserve"> «Биологические ресурсы – иное движимое имущество учреждения»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tc>
        <w:tc>
          <w:tcPr>
            <w:tcW w:w="277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13" w:anchor="/document/16/127755/dfasxm2dzt/" w:tooltip="" w:history="1">
              <w:r w:rsidRPr="00900D39">
                <w:rPr>
                  <w:rStyle w:val="a5"/>
                  <w:color w:val="auto"/>
                </w:rPr>
                <w:t>Как учитывать периодику для библиотечного фонда</w:t>
              </w:r>
            </w:hyperlink>
          </w:p>
          <w:p w:rsidR="00000000" w:rsidRPr="00900D39" w:rsidRDefault="00C10342">
            <w:pPr>
              <w:pStyle w:val="a3"/>
            </w:pPr>
            <w:hyperlink r:id="rId14" w:anchor="/document/16/127755/" w:tooltip="" w:history="1">
              <w:r w:rsidRPr="00900D39">
                <w:rPr>
                  <w:rStyle w:val="a5"/>
                  <w:color w:val="auto"/>
                </w:rPr>
                <w:t>Как учитывать библиотечный фонд</w:t>
              </w:r>
            </w:hyperlink>
          </w:p>
          <w:p w:rsidR="00000000" w:rsidRPr="00900D39" w:rsidRDefault="00C10342">
            <w:pPr>
              <w:pStyle w:val="a3"/>
            </w:pPr>
            <w:hyperlink r:id="rId15" w:anchor="/document/86/283142/" w:tooltip="" w:history="1">
              <w:r w:rsidRPr="00900D39">
                <w:rPr>
                  <w:rStyle w:val="a5"/>
                  <w:color w:val="auto"/>
                </w:rPr>
                <w:t xml:space="preserve">Как вести учет на </w:t>
              </w:r>
              <w:proofErr w:type="spellStart"/>
              <w:r w:rsidRPr="00900D39">
                <w:rPr>
                  <w:rStyle w:val="a5"/>
                  <w:color w:val="auto"/>
                </w:rPr>
                <w:t>забалансовом</w:t>
              </w:r>
              <w:proofErr w:type="spellEnd"/>
              <w:r w:rsidRPr="00900D39">
                <w:rPr>
                  <w:rStyle w:val="a5"/>
                  <w:color w:val="auto"/>
                </w:rPr>
                <w:t xml:space="preserve"> счете 23 «Периодические издания для пользования»</w:t>
              </w:r>
            </w:hyperlink>
          </w:p>
          <w:p w:rsidR="00000000" w:rsidRPr="00900D39" w:rsidRDefault="00C10342">
            <w:pPr>
              <w:rPr>
                <w:rFonts w:eastAsia="Times New Roman"/>
              </w:rPr>
            </w:pPr>
            <w:r w:rsidRPr="00900D39">
              <w:rPr>
                <w:rFonts w:eastAsia="Times New Roman"/>
              </w:rPr>
              <w:br/>
              <w:t> </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Периодику для библиотечного фонда не учитывают на</w:t>
            </w:r>
            <w:r w:rsidRPr="00900D39">
              <w:rPr>
                <w:rFonts w:eastAsia="Times New Roman"/>
              </w:rPr>
              <w:t xml:space="preserve"> </w:t>
            </w:r>
            <w:hyperlink r:id="rId16" w:anchor="/document/99/902249301/XA00MC22NK/" w:tooltip="Счет 23 &quot;Периодические издания для пользования&quot;" w:history="1">
              <w:proofErr w:type="spellStart"/>
              <w:r w:rsidRPr="00900D39">
                <w:rPr>
                  <w:rStyle w:val="a5"/>
                  <w:rFonts w:eastAsia="Times New Roman"/>
                  <w:color w:val="auto"/>
                </w:rPr>
                <w:t>забалансовом</w:t>
              </w:r>
              <w:proofErr w:type="spellEnd"/>
              <w:r w:rsidRPr="00900D39">
                <w:rPr>
                  <w:rStyle w:val="a5"/>
                  <w:rFonts w:eastAsia="Times New Roman"/>
                  <w:color w:val="auto"/>
                </w:rPr>
                <w:t xml:space="preserve"> счете 23</w:t>
              </w:r>
            </w:hyperlink>
            <w:r w:rsidRPr="00900D39">
              <w:rPr>
                <w:rFonts w:eastAsia="Times New Roman"/>
              </w:rPr>
              <w:t xml:space="preserve"> «Периодические издания для пользования»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 xml:space="preserve">Запчасти, которые выдали взамен </w:t>
            </w:r>
            <w:proofErr w:type="gramStart"/>
            <w:r w:rsidRPr="00900D39">
              <w:t>изношенных</w:t>
            </w:r>
            <w:proofErr w:type="gramEnd"/>
            <w:r w:rsidRPr="00900D39">
              <w:t xml:space="preserve"> на школ</w:t>
            </w:r>
            <w:r w:rsidRPr="00900D39">
              <w:t>ьном автобусе, не учитывают на</w:t>
            </w:r>
            <w:r w:rsidRPr="00900D39">
              <w:t xml:space="preserve"> </w:t>
            </w:r>
            <w:hyperlink r:id="rId17" w:anchor="/document/99/902249301/XA00M6M2MQ/" w:tooltip="" w:history="1">
              <w:proofErr w:type="spellStart"/>
              <w:r w:rsidRPr="00900D39">
                <w:rPr>
                  <w:rStyle w:val="a5"/>
                  <w:color w:val="auto"/>
                </w:rPr>
                <w:t>забалансовом</w:t>
              </w:r>
              <w:proofErr w:type="spellEnd"/>
              <w:r w:rsidRPr="00900D39">
                <w:rPr>
                  <w:rStyle w:val="a5"/>
                  <w:color w:val="auto"/>
                </w:rPr>
                <w:t xml:space="preserve"> счете 09</w:t>
              </w:r>
            </w:hyperlink>
            <w:r w:rsidRPr="00900D39">
              <w:t xml:space="preserve"> «Запасные части к транспортным средствам, выданные взамен изношенных</w:t>
            </w:r>
            <w:r w:rsidRPr="00900D39">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18" w:anchor="/document/86/283128/" w:tooltip="" w:history="1">
              <w:r w:rsidRPr="00900D39">
                <w:rPr>
                  <w:rStyle w:val="a5"/>
                  <w:rFonts w:eastAsia="Times New Roman"/>
                  <w:color w:val="auto"/>
                </w:rPr>
                <w:t xml:space="preserve">Как вести учет на </w:t>
              </w:r>
              <w:proofErr w:type="spellStart"/>
              <w:r w:rsidRPr="00900D39">
                <w:rPr>
                  <w:rStyle w:val="a5"/>
                  <w:rFonts w:eastAsia="Times New Roman"/>
                  <w:color w:val="auto"/>
                </w:rPr>
                <w:t>забалансовом</w:t>
              </w:r>
              <w:proofErr w:type="spellEnd"/>
              <w:r w:rsidRPr="00900D39">
                <w:rPr>
                  <w:rStyle w:val="a5"/>
                  <w:rFonts w:eastAsia="Times New Roman"/>
                  <w:color w:val="auto"/>
                </w:rPr>
                <w:t xml:space="preserve"> счете 09 «Запасные части к транспортным средствам, выданные взамен </w:t>
              </w:r>
              <w:proofErr w:type="gramStart"/>
              <w:r w:rsidRPr="00900D39">
                <w:rPr>
                  <w:rStyle w:val="a5"/>
                  <w:rFonts w:eastAsia="Times New Roman"/>
                  <w:color w:val="auto"/>
                </w:rPr>
                <w:t>изношенных</w:t>
              </w:r>
              <w:proofErr w:type="gramEnd"/>
              <w:r w:rsidRPr="00900D39">
                <w:rPr>
                  <w:rStyle w:val="a5"/>
                  <w:rFonts w:eastAsia="Times New Roman"/>
                  <w:color w:val="auto"/>
                </w:rPr>
                <w:t>»</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Спортивный инвентарь, который выдали сотрудникам для спортивных м</w:t>
            </w:r>
            <w:r w:rsidRPr="00900D39">
              <w:t>ероприятий, не учитывают на</w:t>
            </w:r>
            <w:r w:rsidRPr="00900D39">
              <w:t xml:space="preserve"> </w:t>
            </w:r>
            <w:hyperlink r:id="rId19" w:anchor="/document/99/902249301/ZA00MIM2NU/" w:tooltip="Счет 27 &quot;Материальные ценности, выданные в личное пользование работникам (сотрудникам)&quot;" w:history="1">
              <w:proofErr w:type="spellStart"/>
              <w:r w:rsidRPr="00900D39">
                <w:rPr>
                  <w:rStyle w:val="a5"/>
                  <w:color w:val="auto"/>
                </w:rPr>
                <w:t>забалансовом</w:t>
              </w:r>
              <w:proofErr w:type="spellEnd"/>
              <w:r w:rsidRPr="00900D39">
                <w:rPr>
                  <w:rStyle w:val="a5"/>
                  <w:color w:val="auto"/>
                </w:rPr>
                <w:t xml:space="preserve"> </w:t>
              </w:r>
              <w:r w:rsidRPr="00900D39">
                <w:rPr>
                  <w:rStyle w:val="a5"/>
                  <w:color w:val="auto"/>
                </w:rPr>
                <w:lastRenderedPageBreak/>
                <w:t>счете 27</w:t>
              </w:r>
            </w:hyperlink>
            <w:r w:rsidRPr="00900D39">
              <w:t xml:space="preserve"> «Материальные ценности, выд</w:t>
            </w:r>
            <w:r w:rsidRPr="00900D39">
              <w:t>анные в личное пользование работникам (сотрудникам)</w:t>
            </w:r>
            <w:r w:rsidRPr="00900D39">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20" w:anchor="/document/86/283146/" w:tooltip="" w:history="1">
              <w:r w:rsidRPr="00900D39">
                <w:rPr>
                  <w:rStyle w:val="a5"/>
                  <w:rFonts w:eastAsia="Times New Roman"/>
                  <w:color w:val="auto"/>
                </w:rPr>
                <w:t xml:space="preserve">Как вести учет на </w:t>
              </w:r>
              <w:proofErr w:type="spellStart"/>
              <w:r w:rsidRPr="00900D39">
                <w:rPr>
                  <w:rStyle w:val="a5"/>
                  <w:rFonts w:eastAsia="Times New Roman"/>
                  <w:color w:val="auto"/>
                </w:rPr>
                <w:t>забалансовом</w:t>
              </w:r>
              <w:proofErr w:type="spellEnd"/>
              <w:r w:rsidRPr="00900D39">
                <w:rPr>
                  <w:rStyle w:val="a5"/>
                  <w:rFonts w:eastAsia="Times New Roman"/>
                  <w:color w:val="auto"/>
                </w:rPr>
                <w:t xml:space="preserve"> счете 27 «Материальные ценности, </w:t>
              </w:r>
              <w:r w:rsidRPr="00900D39">
                <w:rPr>
                  <w:rStyle w:val="a5"/>
                  <w:rFonts w:eastAsia="Times New Roman"/>
                  <w:color w:val="auto"/>
                </w:rPr>
                <w:lastRenderedPageBreak/>
                <w:t>выданные в личное пользование работникам (сотрудникам)»</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proofErr w:type="spellStart"/>
            <w:r w:rsidRPr="00900D39">
              <w:rPr>
                <w:rFonts w:eastAsia="Times New Roman"/>
              </w:rPr>
              <w:lastRenderedPageBreak/>
              <w:t>Первичка</w:t>
            </w:r>
            <w:proofErr w:type="spellEnd"/>
            <w:r w:rsidRPr="00900D39">
              <w:rPr>
                <w:rFonts w:eastAsia="Times New Roman"/>
              </w:rPr>
              <w:t xml:space="preserve"> и регистр</w:t>
            </w:r>
            <w:r w:rsidRPr="00900D39">
              <w:rPr>
                <w:rFonts w:eastAsia="Times New Roman"/>
              </w:rPr>
              <w:t>ы</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Приняты к учету поддельные документы по операциям, которых не было</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 xml:space="preserve">Штраф за поддельные документы от 100 000 руб. до 300 000 руб. либо принудительные работы или лишение свободы до трех лет </w:t>
            </w:r>
            <w:r w:rsidRPr="00900D39">
              <w:rPr>
                <w:rFonts w:eastAsia="Times New Roman"/>
              </w:rPr>
              <w:t>(</w:t>
            </w:r>
            <w:hyperlink r:id="rId21" w:anchor="/document/99/9017477/XA00MD22NR/" w:tooltip="5. Использование заведомо подложного документа, за исключением случаев, предусмотренных частью третьей настоящей статьи, -" w:history="1">
              <w:r w:rsidRPr="00900D39">
                <w:rPr>
                  <w:rStyle w:val="a5"/>
                  <w:rFonts w:eastAsia="Times New Roman"/>
                  <w:color w:val="auto"/>
                </w:rPr>
                <w:t>ч. 5 ст. 327 УК</w:t>
              </w:r>
            </w:hyperlink>
            <w:r w:rsidRPr="00900D39">
              <w:rPr>
                <w:rFonts w:eastAsia="Times New Roman"/>
              </w:rPr>
              <w:t>)</w:t>
            </w:r>
          </w:p>
        </w:tc>
        <w:tc>
          <w:tcPr>
            <w:tcW w:w="277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22" w:anchor="/document/16/112251/dfasc0g50z/" w:tooltip="Первичным документом оформляют каждый факт хозяйственной жизни (ч. 1 ст. 9 Закона от 06.12.2011 № 402-ФЗ, п. 20, 21 СГС Концептуальные основы бухучета и отчетности, п. 3 Инструкции..." w:history="1">
              <w:r w:rsidRPr="00900D39">
                <w:rPr>
                  <w:rStyle w:val="a5"/>
                  <w:color w:val="auto"/>
                </w:rPr>
                <w:t>Как организовать документооборот первичных документов</w:t>
              </w:r>
            </w:hyperlink>
          </w:p>
          <w:p w:rsidR="00000000" w:rsidRPr="00900D39" w:rsidRDefault="00C10342">
            <w:pPr>
              <w:pStyle w:val="a3"/>
            </w:pPr>
            <w:hyperlink r:id="rId23" w:anchor="/document/16/118472/bssPhr96/" w:tooltip="" w:history="1">
              <w:r w:rsidRPr="00900D39">
                <w:rPr>
                  <w:rStyle w:val="a5"/>
                  <w:color w:val="auto"/>
                </w:rPr>
                <w:t>Как оформлять первичные документы</w:t>
              </w:r>
            </w:hyperlink>
          </w:p>
          <w:p w:rsidR="00000000" w:rsidRPr="00900D39" w:rsidRDefault="00C10342">
            <w:pPr>
              <w:pStyle w:val="a3"/>
            </w:pPr>
            <w:hyperlink r:id="rId24" w:anchor="/document/16/59196/" w:tooltip="" w:history="1">
              <w:r w:rsidRPr="00900D39">
                <w:rPr>
                  <w:rStyle w:val="a5"/>
                  <w:color w:val="auto"/>
                </w:rPr>
                <w:t>Как действовать, если контрагенты задерживают документы</w:t>
              </w:r>
            </w:hyperlink>
          </w:p>
          <w:p w:rsidR="00000000" w:rsidRPr="00900D39" w:rsidRDefault="00C10342">
            <w:pPr>
              <w:rPr>
                <w:rFonts w:eastAsia="Times New Roman"/>
              </w:rPr>
            </w:pPr>
            <w:r w:rsidRPr="00900D39">
              <w:rPr>
                <w:rFonts w:eastAsia="Times New Roman"/>
              </w:rPr>
              <w:br/>
              <w:t> </w:t>
            </w:r>
            <w:r w:rsidRPr="00900D39">
              <w:rPr>
                <w:rFonts w:eastAsia="Times New Roman"/>
              </w:rPr>
              <w:br/>
              <w:t> </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Приняты к учету первичные документы без обязательных реквизитов: товарные накладные, акты о приемке-передаче объектов нефинансовых активо</w:t>
            </w:r>
            <w:r w:rsidRPr="00900D39">
              <w:t>в</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 xml:space="preserve">Предупреждение или штраф за нарушение требований к бухучету для должностных лиц от 1000 до 50 000 руб. </w:t>
            </w:r>
            <w:r w:rsidRPr="00900D39">
              <w:rPr>
                <w:rFonts w:eastAsia="Times New Roman"/>
              </w:rPr>
              <w:t>(</w:t>
            </w:r>
            <w:hyperlink r:id="rId25" w:anchor="/document/99/901807667/XA00RTK2PB/" w:tooltip="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w:history="1">
              <w:r w:rsidRPr="00900D39">
                <w:rPr>
                  <w:rStyle w:val="a5"/>
                  <w:rFonts w:eastAsia="Times New Roman"/>
                  <w:color w:val="auto"/>
                </w:rPr>
                <w:t>ч. 2–7 ст. 15.15.6 КоАП</w:t>
              </w:r>
            </w:hyperlink>
            <w:r w:rsidRPr="00900D39">
              <w:rPr>
                <w:rFonts w:eastAsia="Times New Roman"/>
              </w:rPr>
              <w:t>).</w:t>
            </w:r>
            <w:r w:rsidRPr="00900D39">
              <w:rPr>
                <w:rFonts w:eastAsia="Times New Roman"/>
              </w:rPr>
              <w:t xml:space="preserve"> </w:t>
            </w:r>
            <w:hyperlink r:id="rId26" w:anchor="/document/16/101829/dfasu9h1z4/" w:tooltip="" w:history="1">
              <w:r w:rsidRPr="00900D39">
                <w:rPr>
                  <w:rStyle w:val="a5"/>
                  <w:rFonts w:eastAsia="Times New Roman"/>
                  <w:color w:val="auto"/>
                </w:rPr>
                <w:t>Подробнее</w:t>
              </w:r>
            </w:hyperlink>
          </w:p>
          <w:p w:rsidR="00000000" w:rsidRPr="00900D39" w:rsidRDefault="00C10342">
            <w:pPr>
              <w:pStyle w:val="a3"/>
            </w:pPr>
            <w:r w:rsidRPr="00900D39">
              <w:t>За данные в первичных документах, которые составлены другими лицами, бухгалтер ответственности не несет.</w:t>
            </w:r>
            <w:r w:rsidRPr="00900D39">
              <w:t xml:space="preserve"> </w:t>
            </w:r>
            <w:hyperlink r:id="rId27" w:anchor="/document/16/112251/dfasoegax6/" w:tooltip="" w:history="1">
              <w:r w:rsidRPr="00900D39">
                <w:rPr>
                  <w:rStyle w:val="a5"/>
                  <w:color w:val="auto"/>
                </w:rPr>
                <w:t>Подробнее</w:t>
              </w:r>
            </w:hyperlink>
          </w:p>
          <w:p w:rsidR="00000000" w:rsidRPr="00900D39" w:rsidRDefault="00C10342">
            <w:pPr>
              <w:rPr>
                <w:rFonts w:eastAsia="Times New Roman"/>
              </w:rPr>
            </w:pPr>
            <w:r w:rsidRPr="00900D39">
              <w:rPr>
                <w:rFonts w:eastAsia="Times New Roman"/>
              </w:rPr>
              <w:b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Не составлены или составлены с опозданием первичные документы о приемке поставленного товара, выполненной работы, оказанной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Приняты к учету путев</w:t>
            </w:r>
            <w:r w:rsidRPr="00900D39">
              <w:t>ые листы от водителя школьного автобуса, в которых не заполнены обязательные сведения</w:t>
            </w:r>
            <w:r w:rsidRPr="00900D39">
              <w:t>:</w:t>
            </w:r>
          </w:p>
          <w:p w:rsidR="00000000" w:rsidRPr="00900D39" w:rsidRDefault="00C10342">
            <w:pPr>
              <w:numPr>
                <w:ilvl w:val="0"/>
                <w:numId w:val="1"/>
              </w:numPr>
              <w:spacing w:after="103"/>
              <w:rPr>
                <w:rFonts w:eastAsia="Times New Roman"/>
              </w:rPr>
            </w:pPr>
            <w:r w:rsidRPr="00900D39">
              <w:rPr>
                <w:rFonts w:eastAsia="Times New Roman"/>
              </w:rPr>
              <w:t xml:space="preserve">отметка о </w:t>
            </w:r>
            <w:proofErr w:type="spellStart"/>
            <w:r w:rsidRPr="00900D39">
              <w:rPr>
                <w:rFonts w:eastAsia="Times New Roman"/>
              </w:rPr>
              <w:t>предрейсовом</w:t>
            </w:r>
            <w:proofErr w:type="spellEnd"/>
            <w:r w:rsidRPr="00900D39">
              <w:rPr>
                <w:rFonts w:eastAsia="Times New Roman"/>
              </w:rPr>
              <w:t xml:space="preserve"> и </w:t>
            </w:r>
            <w:proofErr w:type="spellStart"/>
            <w:r w:rsidRPr="00900D39">
              <w:rPr>
                <w:rFonts w:eastAsia="Times New Roman"/>
              </w:rPr>
              <w:t>послерейсовом</w:t>
            </w:r>
            <w:proofErr w:type="spellEnd"/>
            <w:r w:rsidRPr="00900D39">
              <w:rPr>
                <w:rFonts w:eastAsia="Times New Roman"/>
              </w:rPr>
              <w:t xml:space="preserve"> медицинских осмотрах водителя;</w:t>
            </w:r>
          </w:p>
          <w:p w:rsidR="00000000" w:rsidRPr="00900D39" w:rsidRDefault="00C10342">
            <w:pPr>
              <w:numPr>
                <w:ilvl w:val="0"/>
                <w:numId w:val="1"/>
              </w:numPr>
              <w:spacing w:after="103"/>
              <w:rPr>
                <w:rFonts w:eastAsia="Times New Roman"/>
              </w:rPr>
            </w:pPr>
            <w:r w:rsidRPr="00900D39">
              <w:rPr>
                <w:rFonts w:eastAsia="Times New Roman"/>
              </w:rPr>
              <w:t>пункты назначения в графах «Место отправления», «Место назначения»;</w:t>
            </w:r>
          </w:p>
          <w:p w:rsidR="00000000" w:rsidRPr="00900D39" w:rsidRDefault="00C10342">
            <w:pPr>
              <w:numPr>
                <w:ilvl w:val="0"/>
                <w:numId w:val="1"/>
              </w:numPr>
              <w:spacing w:after="103"/>
              <w:rPr>
                <w:rFonts w:eastAsia="Times New Roman"/>
              </w:rPr>
            </w:pPr>
            <w:r w:rsidRPr="00900D39">
              <w:rPr>
                <w:rFonts w:eastAsia="Times New Roman"/>
              </w:rPr>
              <w:t>нет подписи водителя;</w:t>
            </w:r>
          </w:p>
          <w:p w:rsidR="00000000" w:rsidRPr="00900D39" w:rsidRDefault="00C10342">
            <w:pPr>
              <w:numPr>
                <w:ilvl w:val="0"/>
                <w:numId w:val="1"/>
              </w:numPr>
              <w:spacing w:after="103"/>
              <w:rPr>
                <w:rFonts w:eastAsia="Times New Roman"/>
              </w:rPr>
            </w:pPr>
            <w:r w:rsidRPr="00900D39">
              <w:rPr>
                <w:rFonts w:eastAsia="Times New Roman"/>
              </w:rPr>
              <w:t>не указан</w:t>
            </w:r>
            <w:r w:rsidRPr="00900D39">
              <w:rPr>
                <w:rFonts w:eastAsia="Times New Roman"/>
              </w:rPr>
              <w:t>о время выезда и возвращения при каждой поездке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28" w:anchor="/document/16/75716/" w:tooltip="" w:history="1">
              <w:r w:rsidRPr="00900D39">
                <w:rPr>
                  <w:rStyle w:val="a5"/>
                  <w:color w:val="auto"/>
                </w:rPr>
                <w:t>Как заполнить путевой лист</w:t>
              </w:r>
            </w:hyperlink>
          </w:p>
          <w:p w:rsidR="00000000" w:rsidRPr="00900D39" w:rsidRDefault="00C10342">
            <w:pPr>
              <w:pStyle w:val="a3"/>
            </w:pPr>
            <w:hyperlink r:id="rId29" w:anchor="/document/16/102029/" w:tooltip="" w:history="1">
              <w:r w:rsidRPr="00900D39">
                <w:rPr>
                  <w:rStyle w:val="a5"/>
                  <w:color w:val="auto"/>
                </w:rPr>
                <w:t>Формы и порядок заполнения пу</w:t>
              </w:r>
              <w:r w:rsidRPr="00900D39">
                <w:rPr>
                  <w:rStyle w:val="a5"/>
                  <w:color w:val="auto"/>
                </w:rPr>
                <w:t>тевых листов</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Первичные учетные документы – карточка-справка (ф. 0504417), записка-расчет (ф. 0504425) – формируются в электронном виде, без электронных подписей и не были подшиты к журналу операций по заработной плате</w:t>
            </w:r>
            <w:r w:rsidRPr="00900D39">
              <w:t>.</w:t>
            </w:r>
          </w:p>
          <w:p w:rsidR="00000000" w:rsidRPr="00900D39" w:rsidRDefault="00C10342">
            <w:pPr>
              <w:pStyle w:val="a3"/>
            </w:pPr>
            <w:r w:rsidRPr="00900D39">
              <w:t xml:space="preserve">В учетной политике не прописан перечень первичных </w:t>
            </w:r>
            <w:r w:rsidRPr="00900D39">
              <w:lastRenderedPageBreak/>
              <w:t>учетных документов и регистров бухгалтерского учета, которые формируются в электронном виде без вывода на бумажные носител</w:t>
            </w:r>
            <w:r w:rsidRPr="00900D39">
              <w:t>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30" w:anchor="/document/86/531045/" w:tooltip="" w:history="1">
              <w:r w:rsidRPr="00900D39">
                <w:rPr>
                  <w:rStyle w:val="a5"/>
                  <w:color w:val="auto"/>
                </w:rPr>
                <w:t>Как и какие сведения отражать в карточке-справке (ф. 0504417)</w:t>
              </w:r>
            </w:hyperlink>
          </w:p>
          <w:p w:rsidR="00000000" w:rsidRPr="00900D39" w:rsidRDefault="00C10342">
            <w:pPr>
              <w:pStyle w:val="a3"/>
            </w:pPr>
            <w:hyperlink r:id="rId31" w:anchor="/document/86/275100/" w:tooltip="" w:history="1">
              <w:r w:rsidRPr="00900D39">
                <w:rPr>
                  <w:rStyle w:val="a5"/>
                  <w:color w:val="auto"/>
                </w:rPr>
                <w:t>Как составить записку-расчет при выплате отпускных</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lastRenderedPageBreak/>
              <w:t>Не применяли регистры бухучета: журналы операций и главную кни</w:t>
            </w:r>
            <w:r w:rsidRPr="00900D39">
              <w:rPr>
                <w:rFonts w:eastAsia="Times New Roman"/>
              </w:rPr>
              <w:t>гу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32" w:anchor="/document/16/112251/dfas6homhz/" w:tooltip="Данные из первичных документов отражают в бухгалтерских регистрах. Регистры – это перечни операций в хронологическом порядке, которые сгруппированы по счетам бухучета. Их ведут..." w:history="1">
              <w:r w:rsidRPr="00900D39">
                <w:rPr>
                  <w:rStyle w:val="a5"/>
                  <w:rFonts w:eastAsia="Times New Roman"/>
                  <w:color w:val="auto"/>
                </w:rPr>
                <w:t>Как составлять бухгалтерские регистры</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Оплачены товары и услуги без оправдательных документов: накладных, актов</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 xml:space="preserve">Штраф за нарушение заказчиком порядка оплаты товаров, работ, услуг для должностных лиц от 30 000 до 50 000 руб. </w:t>
            </w:r>
            <w:r w:rsidRPr="00900D39">
              <w:t>(</w:t>
            </w:r>
            <w:hyperlink r:id="rId33" w:anchor="/document/99/901807667/XA00S7U2PN/" w:tooltip="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w:history="1">
              <w:r w:rsidRPr="00900D39">
                <w:rPr>
                  <w:rStyle w:val="a5"/>
                  <w:color w:val="auto"/>
                </w:rPr>
                <w:t>ч. 1 ст. 7.32.5 КоАП</w:t>
              </w:r>
            </w:hyperlink>
            <w:r w:rsidRPr="00900D39">
              <w:t>)</w:t>
            </w:r>
          </w:p>
          <w:p w:rsidR="00000000" w:rsidRPr="00900D39" w:rsidRDefault="00C10342">
            <w:pPr>
              <w:pStyle w:val="a3"/>
            </w:pPr>
            <w:r w:rsidRPr="00900D39">
              <w:t>Штраф за нецелевое использование бюджетных средств</w:t>
            </w:r>
            <w:r w:rsidRPr="00900D39">
              <w:t>:</w:t>
            </w:r>
          </w:p>
          <w:p w:rsidR="00000000" w:rsidRPr="00900D39" w:rsidRDefault="00C10342">
            <w:pPr>
              <w:numPr>
                <w:ilvl w:val="0"/>
                <w:numId w:val="2"/>
              </w:numPr>
              <w:spacing w:after="103"/>
              <w:rPr>
                <w:rFonts w:eastAsia="Times New Roman"/>
              </w:rPr>
            </w:pPr>
            <w:r w:rsidRPr="00900D39">
              <w:rPr>
                <w:rFonts w:eastAsia="Times New Roman"/>
              </w:rPr>
              <w:t>для должностных лиц – от 20 000 до 50 000 руб.;</w:t>
            </w:r>
          </w:p>
          <w:p w:rsidR="00000000" w:rsidRPr="00900D39" w:rsidRDefault="00C10342">
            <w:pPr>
              <w:numPr>
                <w:ilvl w:val="0"/>
                <w:numId w:val="2"/>
              </w:numPr>
              <w:spacing w:after="103"/>
              <w:rPr>
                <w:rFonts w:eastAsia="Times New Roman"/>
              </w:rPr>
            </w:pPr>
            <w:r w:rsidRPr="00900D39">
              <w:rPr>
                <w:rFonts w:eastAsia="Times New Roman"/>
              </w:rPr>
              <w:t>учреждения – от 5 до 25 процентов суммы бюджетных средств, использованных не по целевому назначению.</w:t>
            </w:r>
          </w:p>
          <w:p w:rsidR="00000000" w:rsidRPr="00900D39" w:rsidRDefault="00C10342">
            <w:pPr>
              <w:pStyle w:val="a3"/>
            </w:pPr>
            <w:hyperlink r:id="rId34" w:anchor="/document/16/101829/dfasr85gca/" w:tooltip="" w:history="1">
              <w:r w:rsidRPr="00900D39">
                <w:rPr>
                  <w:rStyle w:val="a5"/>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35" w:anchor="/document/16/130932/" w:tooltip="" w:history="1">
              <w:r w:rsidRPr="00900D39">
                <w:rPr>
                  <w:rStyle w:val="a5"/>
                  <w:rFonts w:eastAsia="Times New Roman"/>
                  <w:color w:val="auto"/>
                </w:rPr>
                <w:t>Как учесть расчеты с поставщиками, исполнителями, подрядчиками</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Оплата труд</w:t>
            </w:r>
            <w:r w:rsidRPr="00900D39">
              <w:rPr>
                <w:rFonts w:eastAsia="Times New Roman"/>
              </w:rPr>
              <w:t>а</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Назн</w:t>
            </w:r>
            <w:r w:rsidRPr="00900D39">
              <w:rPr>
                <w:rFonts w:eastAsia="Times New Roman"/>
              </w:rPr>
              <w:t>ачали стимулирующие выплаты  администрации (директору, главбуху, заместителю директора) без учета критериев оценки результативности и качества работы сотрудников и без обоснования размеров выплат</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Предупреждение или штраф за нарушение трудового законодател</w:t>
            </w:r>
            <w:r w:rsidRPr="00900D39">
              <w:t>ьства </w:t>
            </w:r>
            <w:r w:rsidRPr="00900D39">
              <w:t>(</w:t>
            </w:r>
            <w:hyperlink r:id="rId36" w:anchor="/document/99/901807667/ZAP1PIK3BO/" w:tooltip="1. Нарушение трудового законодательства и иных нормативных правовых актов, содержащих нормы трудового права" w:history="1">
              <w:r w:rsidRPr="00900D39">
                <w:rPr>
                  <w:rStyle w:val="a5"/>
                  <w:color w:val="auto"/>
                </w:rPr>
                <w:t>ч. 1 ст. 5.27 КоАП</w:t>
              </w:r>
            </w:hyperlink>
            <w:r w:rsidRPr="00900D39">
              <w:t>)</w:t>
            </w:r>
            <w:r w:rsidRPr="00900D39">
              <w:t>:</w:t>
            </w:r>
          </w:p>
          <w:p w:rsidR="00000000" w:rsidRPr="00900D39" w:rsidRDefault="00C10342">
            <w:pPr>
              <w:numPr>
                <w:ilvl w:val="0"/>
                <w:numId w:val="3"/>
              </w:numPr>
              <w:spacing w:after="103"/>
              <w:rPr>
                <w:rFonts w:eastAsia="Times New Roman"/>
              </w:rPr>
            </w:pPr>
            <w:r w:rsidRPr="00900D39">
              <w:rPr>
                <w:rFonts w:eastAsia="Times New Roman"/>
              </w:rPr>
              <w:t>для должностных лиц – от 1000 д</w:t>
            </w:r>
            <w:r w:rsidRPr="00900D39">
              <w:rPr>
                <w:rFonts w:eastAsia="Times New Roman"/>
              </w:rPr>
              <w:t>о 5000 руб.;</w:t>
            </w:r>
          </w:p>
          <w:p w:rsidR="00000000" w:rsidRPr="00900D39" w:rsidRDefault="00C10342">
            <w:pPr>
              <w:numPr>
                <w:ilvl w:val="0"/>
                <w:numId w:val="3"/>
              </w:numPr>
              <w:spacing w:after="103"/>
              <w:rPr>
                <w:rFonts w:eastAsia="Times New Roman"/>
              </w:rPr>
            </w:pPr>
            <w:r w:rsidRPr="00900D39">
              <w:rPr>
                <w:rFonts w:eastAsia="Times New Roman"/>
              </w:rPr>
              <w:t>учреждения – от 30 000 до 50 000 руб.</w:t>
            </w:r>
          </w:p>
          <w:p w:rsidR="00000000" w:rsidRPr="00900D39" w:rsidRDefault="00C10342">
            <w:pPr>
              <w:pStyle w:val="a3"/>
            </w:pPr>
            <w:r w:rsidRPr="00900D39">
              <w:t xml:space="preserve">Штраф за нецелевое использование </w:t>
            </w:r>
            <w:r w:rsidRPr="00900D39">
              <w:lastRenderedPageBreak/>
              <w:t xml:space="preserve">бюджетных средств </w:t>
            </w:r>
            <w:r w:rsidRPr="00900D39">
              <w:t>(</w:t>
            </w:r>
            <w:hyperlink r:id="rId37" w:anchor="/document/99/901807667/ZA00LU62LL/" w:tooltip="" w:history="1">
              <w:r w:rsidRPr="00900D39">
                <w:rPr>
                  <w:rStyle w:val="a5"/>
                  <w:color w:val="auto"/>
                </w:rPr>
                <w:t>ст. 15.4 КоАП</w:t>
              </w:r>
            </w:hyperlink>
            <w:r w:rsidRPr="00900D39">
              <w:t>)</w:t>
            </w:r>
            <w:r w:rsidRPr="00900D39">
              <w:t>:</w:t>
            </w:r>
          </w:p>
          <w:p w:rsidR="00000000" w:rsidRPr="00900D39" w:rsidRDefault="00C10342">
            <w:pPr>
              <w:numPr>
                <w:ilvl w:val="0"/>
                <w:numId w:val="4"/>
              </w:numPr>
              <w:spacing w:after="103"/>
              <w:rPr>
                <w:rFonts w:eastAsia="Times New Roman"/>
              </w:rPr>
            </w:pPr>
            <w:r w:rsidRPr="00900D39">
              <w:rPr>
                <w:rFonts w:eastAsia="Times New Roman"/>
              </w:rPr>
              <w:t>для должностных лиц – от 20 000 до 50 000 руб.;</w:t>
            </w:r>
          </w:p>
          <w:p w:rsidR="00000000" w:rsidRPr="00900D39" w:rsidRDefault="00C10342">
            <w:pPr>
              <w:numPr>
                <w:ilvl w:val="0"/>
                <w:numId w:val="4"/>
              </w:numPr>
              <w:spacing w:after="103"/>
              <w:rPr>
                <w:rFonts w:eastAsia="Times New Roman"/>
              </w:rPr>
            </w:pPr>
            <w:r w:rsidRPr="00900D39">
              <w:rPr>
                <w:rFonts w:eastAsia="Times New Roman"/>
              </w:rPr>
              <w:t>учреждения – от 5 до 25 процентов суммы бюджетных средств, использованных не по целевому назначению.</w:t>
            </w:r>
          </w:p>
          <w:p w:rsidR="00000000" w:rsidRPr="00900D39" w:rsidRDefault="00C10342">
            <w:pPr>
              <w:pStyle w:val="a3"/>
            </w:pPr>
            <w:hyperlink r:id="rId38" w:anchor="/document/16/101829/dfasr85gca/" w:tooltip="" w:history="1">
              <w:r w:rsidRPr="00900D39">
                <w:rPr>
                  <w:rStyle w:val="a5"/>
                  <w:color w:val="auto"/>
                </w:rPr>
                <w:t>Подробнее</w:t>
              </w:r>
            </w:hyperlink>
            <w:r w:rsidRPr="00900D39">
              <w:t> </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39" w:anchor="/document/16/122861/" w:tooltip="" w:history="1">
              <w:r w:rsidRPr="00900D39">
                <w:rPr>
                  <w:rStyle w:val="a5"/>
                  <w:color w:val="auto"/>
                </w:rPr>
                <w:t>Как оплатить труд педагогических работников</w:t>
              </w:r>
            </w:hyperlink>
          </w:p>
          <w:p w:rsidR="00000000" w:rsidRPr="00900D39" w:rsidRDefault="00C10342">
            <w:pPr>
              <w:pStyle w:val="a3"/>
            </w:pPr>
            <w:hyperlink r:id="rId40" w:anchor="/document/86/575946/" w:tooltip="" w:history="1">
              <w:r w:rsidRPr="00900D39">
                <w:rPr>
                  <w:rStyle w:val="a5"/>
                  <w:color w:val="auto"/>
                </w:rPr>
                <w:t>Как установить стимулирующие выплаты сотрудникам федерального бюджетного учреждения</w:t>
              </w:r>
            </w:hyperlink>
          </w:p>
          <w:p w:rsidR="00000000" w:rsidRPr="00900D39" w:rsidRDefault="00C10342">
            <w:pPr>
              <w:pStyle w:val="a3"/>
            </w:pPr>
            <w:hyperlink r:id="rId41" w:anchor="/document/86/576616/" w:tooltip="" w:history="1">
              <w:r w:rsidRPr="00900D39">
                <w:rPr>
                  <w:rStyle w:val="a5"/>
                  <w:color w:val="auto"/>
                </w:rPr>
                <w:t>Как установить стимулирующие выплаты сотрудникам федерального автономного учреждения</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lastRenderedPageBreak/>
              <w:t>Федеральную доплату за классное руководство начисляют без учета фактически отработанного времен</w:t>
            </w:r>
            <w:r w:rsidRPr="00900D39">
              <w:t>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42" w:anchor="/document/86/467124/" w:tooltip="" w:history="1">
              <w:r w:rsidRPr="00900D39">
                <w:rPr>
                  <w:rStyle w:val="a5"/>
                  <w:rFonts w:eastAsia="Times New Roman"/>
                  <w:color w:val="auto"/>
                </w:rPr>
                <w:t>Как назначить федеральную доплату за классное руководство с 1 сентября 2020 года</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lastRenderedPageBreak/>
              <w:t>Не заключали дополнительные соглашения с сотрудниками при введении новых стимулирующих и компенсационных выплат, изменении должностных обязанностей</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 xml:space="preserve">Предупреждение или штраф за нарушение трудового законодательства </w:t>
            </w:r>
            <w:r w:rsidRPr="00900D39">
              <w:t>(</w:t>
            </w:r>
            <w:hyperlink r:id="rId43" w:anchor="/document/99/901807667/ZAP1PIK3BO/" w:tooltip="1. Нарушение трудового законодательства и иных нормативных правовых актов, содержащих нормы трудового права" w:history="1">
              <w:r w:rsidRPr="00900D39">
                <w:rPr>
                  <w:rStyle w:val="a5"/>
                  <w:color w:val="auto"/>
                </w:rPr>
                <w:t>ч. 1 ст. 5.27 КоАП</w:t>
              </w:r>
            </w:hyperlink>
            <w:r w:rsidRPr="00900D39">
              <w:t>)</w:t>
            </w:r>
            <w:r w:rsidRPr="00900D39">
              <w:t>:</w:t>
            </w:r>
          </w:p>
          <w:p w:rsidR="00000000" w:rsidRPr="00900D39" w:rsidRDefault="00C10342">
            <w:pPr>
              <w:numPr>
                <w:ilvl w:val="0"/>
                <w:numId w:val="5"/>
              </w:numPr>
              <w:spacing w:after="103"/>
              <w:rPr>
                <w:rFonts w:eastAsia="Times New Roman"/>
              </w:rPr>
            </w:pPr>
            <w:r w:rsidRPr="00900D39">
              <w:rPr>
                <w:rFonts w:eastAsia="Times New Roman"/>
              </w:rPr>
              <w:t>для должностных лиц – от 1000 до 5000 руб.;</w:t>
            </w:r>
          </w:p>
          <w:p w:rsidR="00000000" w:rsidRPr="00900D39" w:rsidRDefault="00C10342">
            <w:pPr>
              <w:numPr>
                <w:ilvl w:val="0"/>
                <w:numId w:val="5"/>
              </w:numPr>
              <w:spacing w:after="103"/>
              <w:rPr>
                <w:rFonts w:eastAsia="Times New Roman"/>
              </w:rPr>
            </w:pPr>
            <w:r w:rsidRPr="00900D39">
              <w:rPr>
                <w:rFonts w:eastAsia="Times New Roman"/>
              </w:rPr>
              <w:t>учреждения – от 30 000 до 50 000 ру</w:t>
            </w:r>
            <w:r w:rsidRPr="00900D39">
              <w:rPr>
                <w:rFonts w:eastAsia="Times New Roman"/>
              </w:rPr>
              <w:t>б.</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44" w:anchor="/document/86/475465/" w:tooltip="" w:history="1">
              <w:r w:rsidRPr="00900D39">
                <w:rPr>
                  <w:rStyle w:val="a5"/>
                  <w:rFonts w:eastAsia="Times New Roman"/>
                  <w:color w:val="auto"/>
                </w:rPr>
                <w:t>Как оформить изменения к трудовому договору</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Не выплачивали компенсацию за ЕГЭ</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Предупреждение или штраф за задержку зарплаты</w:t>
            </w:r>
            <w:r w:rsidRPr="00900D39">
              <w:t>:</w:t>
            </w:r>
          </w:p>
          <w:p w:rsidR="00000000" w:rsidRPr="00900D39" w:rsidRDefault="00C10342">
            <w:pPr>
              <w:numPr>
                <w:ilvl w:val="0"/>
                <w:numId w:val="6"/>
              </w:numPr>
              <w:spacing w:after="103"/>
              <w:rPr>
                <w:rFonts w:eastAsia="Times New Roman"/>
              </w:rPr>
            </w:pPr>
            <w:r w:rsidRPr="00900D39">
              <w:rPr>
                <w:rFonts w:eastAsia="Times New Roman"/>
              </w:rPr>
              <w:t>для должностных лиц – от 10 000 до 20 000 руб</w:t>
            </w:r>
            <w:r w:rsidRPr="00900D39">
              <w:rPr>
                <w:rFonts w:eastAsia="Times New Roman"/>
              </w:rPr>
              <w:t>.;</w:t>
            </w:r>
          </w:p>
          <w:p w:rsidR="00000000" w:rsidRPr="00900D39" w:rsidRDefault="00C10342">
            <w:pPr>
              <w:numPr>
                <w:ilvl w:val="0"/>
                <w:numId w:val="6"/>
              </w:numPr>
              <w:spacing w:after="103"/>
              <w:rPr>
                <w:rFonts w:eastAsia="Times New Roman"/>
              </w:rPr>
            </w:pPr>
            <w:r w:rsidRPr="00900D39">
              <w:rPr>
                <w:rFonts w:eastAsia="Times New Roman"/>
              </w:rPr>
              <w:t xml:space="preserve">учреждения – от 30 000 до 50 000 руб. </w:t>
            </w:r>
            <w:r w:rsidRPr="00900D39">
              <w:rPr>
                <w:rFonts w:eastAsia="Times New Roman"/>
              </w:rPr>
              <w:t>(</w:t>
            </w:r>
            <w:hyperlink r:id="rId45" w:anchor="/document/99/901807667/XA00RUC2PC/" w:tooltip="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history="1">
              <w:r w:rsidRPr="00900D39">
                <w:rPr>
                  <w:rStyle w:val="a5"/>
                  <w:rFonts w:eastAsia="Times New Roman"/>
                  <w:color w:val="auto"/>
                </w:rPr>
                <w:t>ч. 6 ст. 5.27 КоАП</w:t>
              </w:r>
            </w:hyperlink>
            <w:r w:rsidRPr="00900D39">
              <w:rPr>
                <w:rFonts w:eastAsia="Times New Roman"/>
              </w:rPr>
              <w:t>).</w:t>
            </w:r>
          </w:p>
          <w:p w:rsidR="00000000" w:rsidRPr="00900D39" w:rsidRDefault="00C10342">
            <w:pPr>
              <w:pStyle w:val="a3"/>
            </w:pPr>
            <w:hyperlink r:id="rId46" w:anchor="/document/16/131918/" w:tooltip="" w:history="1">
              <w:r w:rsidRPr="00900D39">
                <w:rPr>
                  <w:rStyle w:val="a5"/>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47" w:anchor="/document/189/825745/" w:tooltip="" w:history="1">
              <w:r w:rsidRPr="00900D39">
                <w:rPr>
                  <w:rStyle w:val="a5"/>
                  <w:rFonts w:eastAsia="Times New Roman"/>
                  <w:color w:val="auto"/>
                </w:rPr>
                <w:t>Ком</w:t>
              </w:r>
              <w:r w:rsidRPr="00900D39">
                <w:rPr>
                  <w:rStyle w:val="a5"/>
                  <w:rFonts w:eastAsia="Times New Roman"/>
                  <w:color w:val="auto"/>
                </w:rPr>
                <w:t>пенсация учителям за участие в ЕГЭ</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Питание школьнико</w:t>
            </w:r>
            <w:r w:rsidRPr="00900D39">
              <w:rPr>
                <w:rFonts w:eastAsia="Times New Roman"/>
              </w:rPr>
              <w:t>в</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Расхождения в ведомостях на питание, составленных на основании явки учащихся, и актах оказанных поставщиком услуг по организации питания</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Штраф за нецелевое использование бюджетных средств</w:t>
            </w:r>
            <w:r w:rsidRPr="00900D39">
              <w:t>:</w:t>
            </w:r>
          </w:p>
          <w:p w:rsidR="00000000" w:rsidRPr="00900D39" w:rsidRDefault="00C10342">
            <w:pPr>
              <w:numPr>
                <w:ilvl w:val="0"/>
                <w:numId w:val="7"/>
              </w:numPr>
              <w:spacing w:after="103"/>
              <w:rPr>
                <w:rFonts w:eastAsia="Times New Roman"/>
              </w:rPr>
            </w:pPr>
            <w:r w:rsidRPr="00900D39">
              <w:rPr>
                <w:rFonts w:eastAsia="Times New Roman"/>
              </w:rPr>
              <w:t>для должностных лиц – от 20 000 до 50 000 руб.;</w:t>
            </w:r>
          </w:p>
          <w:p w:rsidR="00000000" w:rsidRPr="00900D39" w:rsidRDefault="00C10342">
            <w:pPr>
              <w:numPr>
                <w:ilvl w:val="0"/>
                <w:numId w:val="7"/>
              </w:numPr>
              <w:spacing w:after="103"/>
              <w:rPr>
                <w:rFonts w:eastAsia="Times New Roman"/>
              </w:rPr>
            </w:pPr>
            <w:r w:rsidRPr="00900D39">
              <w:rPr>
                <w:rFonts w:eastAsia="Times New Roman"/>
              </w:rPr>
              <w:lastRenderedPageBreak/>
              <w:t> учреждения – от 5 до 25 процентов суммы бюджетных средств, использованных не по целевому назначению. </w:t>
            </w:r>
          </w:p>
          <w:p w:rsidR="00000000" w:rsidRPr="00900D39" w:rsidRDefault="00C10342">
            <w:pPr>
              <w:pStyle w:val="a3"/>
            </w:pPr>
            <w:hyperlink r:id="rId48" w:anchor="/document/16/101829/dfasr85gca/" w:tooltip="" w:history="1">
              <w:r w:rsidRPr="00900D39">
                <w:rPr>
                  <w:rStyle w:val="a5"/>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49" w:anchor="/document/16/63480/" w:tooltip="" w:history="1">
              <w:r w:rsidRPr="00900D39">
                <w:rPr>
                  <w:rStyle w:val="a5"/>
                  <w:color w:val="auto"/>
                </w:rPr>
                <w:t xml:space="preserve">Как оформить и учесть расходы на обеспечение </w:t>
              </w:r>
              <w:proofErr w:type="gramStart"/>
              <w:r w:rsidRPr="00900D39">
                <w:rPr>
                  <w:rStyle w:val="a5"/>
                  <w:color w:val="auto"/>
                </w:rPr>
                <w:t>обучающихся</w:t>
              </w:r>
              <w:proofErr w:type="gramEnd"/>
              <w:r w:rsidRPr="00900D39">
                <w:rPr>
                  <w:rStyle w:val="a5"/>
                  <w:color w:val="auto"/>
                </w:rPr>
                <w:t xml:space="preserve"> питанием</w:t>
              </w:r>
            </w:hyperlink>
          </w:p>
          <w:p w:rsidR="00000000" w:rsidRPr="00900D39" w:rsidRDefault="00C10342">
            <w:pPr>
              <w:pStyle w:val="a3"/>
            </w:pPr>
            <w:r w:rsidRPr="00900D39">
              <w:t> </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lastRenderedPageBreak/>
              <w:t>Бутилированную воду для питания детей отражали неправильно. Так, в школе есть водопроводная вода, которая пригодна для питья. Но школа отражала бутилированную воду, которая предусмотрена нормативами, по</w:t>
            </w:r>
            <w:r w:rsidRPr="00900D39">
              <w:rPr>
                <w:rFonts w:eastAsia="Times New Roman"/>
              </w:rPr>
              <w:t xml:space="preserve"> </w:t>
            </w:r>
            <w:hyperlink r:id="rId50" w:anchor="/document/99/555944502/XA00MEE2NC/" w:tooltip="346 &quot;Увеличение стоимости прочих материальных запасов&quot;" w:history="1">
              <w:r w:rsidRPr="00900D39">
                <w:rPr>
                  <w:rStyle w:val="a5"/>
                  <w:rFonts w:eastAsia="Times New Roman"/>
                  <w:color w:val="auto"/>
                </w:rPr>
                <w:t>КОСГУ 346</w:t>
              </w:r>
            </w:hyperlink>
            <w:r w:rsidRPr="00900D39">
              <w:rPr>
                <w:rFonts w:eastAsia="Times New Roman"/>
              </w:rPr>
              <w:t>, а не по</w:t>
            </w:r>
            <w:r w:rsidRPr="00900D39">
              <w:rPr>
                <w:rFonts w:eastAsia="Times New Roman"/>
              </w:rPr>
              <w:t xml:space="preserve"> </w:t>
            </w:r>
            <w:hyperlink r:id="rId51" w:anchor="/document/99/555944502/XA00M7O2MQ/" w:tooltip="342 &quot;Увеличение стоимости продуктов питания&quot;" w:history="1">
              <w:r w:rsidRPr="00900D39">
                <w:rPr>
                  <w:rStyle w:val="a5"/>
                  <w:rFonts w:eastAsia="Times New Roman"/>
                  <w:color w:val="auto"/>
                </w:rPr>
                <w:t>342</w:t>
              </w:r>
            </w:hyperlink>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Пре</w:t>
            </w:r>
            <w:r w:rsidRPr="00900D39">
              <w:rPr>
                <w:rFonts w:eastAsia="Times New Roman"/>
              </w:rPr>
              <w:t xml:space="preserve">дупреждение или штраф за нарушение требований к бухучету для должностных лиц от 1000 до 50 000 руб. </w:t>
            </w:r>
            <w:r w:rsidRPr="00900D39">
              <w:rPr>
                <w:rFonts w:eastAsia="Times New Roman"/>
              </w:rPr>
              <w:t>(</w:t>
            </w:r>
            <w:hyperlink r:id="rId52" w:anchor="/document/99/901807667/XA00RTK2PB/" w:tooltip="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history="1">
              <w:r w:rsidRPr="00900D39">
                <w:rPr>
                  <w:rStyle w:val="a5"/>
                  <w:rFonts w:eastAsia="Times New Roman"/>
                  <w:color w:val="auto"/>
                </w:rPr>
                <w:t>ч. 2–7 ст. 15.15.6 КоАП</w:t>
              </w:r>
            </w:hyperlink>
            <w:r w:rsidRPr="00900D39">
              <w:rPr>
                <w:rFonts w:eastAsia="Times New Roman"/>
              </w:rPr>
              <w:t>).</w:t>
            </w:r>
            <w:r w:rsidRPr="00900D39">
              <w:rPr>
                <w:rFonts w:eastAsia="Times New Roman"/>
              </w:rPr>
              <w:t xml:space="preserve"> </w:t>
            </w:r>
            <w:hyperlink r:id="rId53" w:anchor="/document/16/101829/dfasu9h1z4/" w:tooltip="Нарушение требований к бухгалтерскому и бюджетному учету" w:history="1">
              <w:r w:rsidRPr="00900D39">
                <w:rPr>
                  <w:rStyle w:val="a5"/>
                  <w:rFonts w:eastAsia="Times New Roman"/>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54" w:anchor="/document/86/544243/" w:tooltip="" w:history="1">
              <w:r w:rsidRPr="00900D39">
                <w:rPr>
                  <w:rStyle w:val="a5"/>
                  <w:rFonts w:eastAsia="Times New Roman"/>
                  <w:color w:val="auto"/>
                </w:rPr>
                <w:t>На какой КВР и код КОСГУ отнести покупку бутилированной питьевой воды</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Не применяли меню-требование по форме,</w:t>
            </w:r>
            <w:r w:rsidRPr="00900D39">
              <w:rPr>
                <w:rFonts w:eastAsia="Times New Roman"/>
              </w:rPr>
              <w:t xml:space="preserve"> которая утверждена</w:t>
            </w:r>
            <w:r w:rsidRPr="00900D39">
              <w:rPr>
                <w:rFonts w:eastAsia="Times New Roman"/>
              </w:rPr>
              <w:t xml:space="preserve"> </w:t>
            </w:r>
            <w:hyperlink r:id="rId55" w:anchor="/document/99/420266549/" w:tooltip="" w:history="1">
              <w:r w:rsidRPr="00900D39">
                <w:rPr>
                  <w:rStyle w:val="a5"/>
                  <w:rFonts w:eastAsia="Times New Roman"/>
                  <w:color w:val="auto"/>
                </w:rPr>
                <w:t>приказом Минфина от 30.03.2015 № 52н</w:t>
              </w:r>
            </w:hyperlink>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56" w:anchor="/document/16/118472/" w:tooltip="" w:history="1">
              <w:r w:rsidRPr="00900D39">
                <w:rPr>
                  <w:rStyle w:val="a5"/>
                  <w:color w:val="auto"/>
                </w:rPr>
                <w:t>Как оформлять первичные документы</w:t>
              </w:r>
            </w:hyperlink>
          </w:p>
          <w:p w:rsidR="00000000" w:rsidRPr="00900D39" w:rsidRDefault="00C10342">
            <w:pPr>
              <w:pStyle w:val="a3"/>
            </w:pPr>
            <w:hyperlink r:id="rId57" w:anchor="/document/16/63480/" w:tooltip="" w:history="1">
              <w:r w:rsidRPr="00900D39">
                <w:rPr>
                  <w:rStyle w:val="a5"/>
                  <w:color w:val="auto"/>
                </w:rPr>
                <w:t xml:space="preserve">Как оформить и учесть расходы на обеспечение </w:t>
              </w:r>
              <w:proofErr w:type="gramStart"/>
              <w:r w:rsidRPr="00900D39">
                <w:rPr>
                  <w:rStyle w:val="a5"/>
                  <w:color w:val="auto"/>
                </w:rPr>
                <w:t>обучающихся</w:t>
              </w:r>
              <w:proofErr w:type="gramEnd"/>
              <w:r w:rsidRPr="00900D39">
                <w:rPr>
                  <w:rStyle w:val="a5"/>
                  <w:color w:val="auto"/>
                </w:rPr>
                <w:t xml:space="preserve"> питанием</w:t>
              </w:r>
            </w:hyperlink>
          </w:p>
          <w:p w:rsidR="00000000" w:rsidRPr="00900D39" w:rsidRDefault="00C10342">
            <w:pPr>
              <w:pStyle w:val="a3"/>
            </w:pPr>
            <w:hyperlink r:id="rId58" w:anchor="/document/118/32214/" w:tooltip="" w:history="1">
              <w:r w:rsidRPr="00900D39">
                <w:rPr>
                  <w:rStyle w:val="a5"/>
                  <w:color w:val="auto"/>
                </w:rPr>
                <w:t>Пример заполнения меню-требования на вы</w:t>
              </w:r>
              <w:r w:rsidRPr="00900D39">
                <w:rPr>
                  <w:rStyle w:val="a5"/>
                  <w:color w:val="auto"/>
                </w:rPr>
                <w:t>дачу продуктов питания в школьной столовой</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Пожертвовани</w:t>
            </w:r>
            <w:r w:rsidRPr="00900D39">
              <w:rPr>
                <w:rFonts w:eastAsia="Times New Roman"/>
              </w:rPr>
              <w:t>я</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Сбор денег с родителей на ремонт, на учебники и другие нужды, на которые поступают средства из бюджета</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 xml:space="preserve">Уголовная ответственность за вымогательство </w:t>
            </w:r>
            <w:r w:rsidRPr="00900D39">
              <w:rPr>
                <w:rFonts w:eastAsia="Times New Roman"/>
              </w:rPr>
              <w:t>(</w:t>
            </w:r>
            <w:hyperlink r:id="rId59" w:anchor="/document/99/9017477/ZA00MOG2OA/" w:tooltip="Статья 163. Вымогательство" w:history="1">
              <w:r w:rsidRPr="00900D39">
                <w:rPr>
                  <w:rStyle w:val="a5"/>
                  <w:rFonts w:eastAsia="Times New Roman"/>
                  <w:color w:val="auto"/>
                </w:rPr>
                <w:t>ст. 163 УК</w:t>
              </w:r>
            </w:hyperlink>
            <w:r w:rsidRPr="00900D39">
              <w:rPr>
                <w:rFonts w:eastAsia="Times New Roman"/>
              </w:rPr>
              <w:t>):</w:t>
            </w:r>
          </w:p>
          <w:p w:rsidR="00000000" w:rsidRPr="00900D39" w:rsidRDefault="00C10342">
            <w:pPr>
              <w:numPr>
                <w:ilvl w:val="0"/>
                <w:numId w:val="8"/>
              </w:numPr>
              <w:spacing w:after="103"/>
              <w:rPr>
                <w:rFonts w:eastAsia="Times New Roman"/>
              </w:rPr>
            </w:pPr>
            <w:r w:rsidRPr="00900D39">
              <w:rPr>
                <w:rFonts w:eastAsia="Times New Roman"/>
              </w:rPr>
              <w:t>лишение свободы на срок до четырех лет;</w:t>
            </w:r>
          </w:p>
          <w:p w:rsidR="00000000" w:rsidRPr="00900D39" w:rsidRDefault="00C10342">
            <w:pPr>
              <w:numPr>
                <w:ilvl w:val="0"/>
                <w:numId w:val="8"/>
              </w:numPr>
              <w:spacing w:after="103"/>
              <w:rPr>
                <w:rFonts w:eastAsia="Times New Roman"/>
              </w:rPr>
            </w:pPr>
            <w:r w:rsidRPr="00900D39">
              <w:rPr>
                <w:rFonts w:eastAsia="Times New Roman"/>
              </w:rPr>
              <w:t>принудительные работы в течение четырех лет;</w:t>
            </w:r>
          </w:p>
          <w:p w:rsidR="00000000" w:rsidRPr="00900D39" w:rsidRDefault="00C10342">
            <w:pPr>
              <w:numPr>
                <w:ilvl w:val="0"/>
                <w:numId w:val="8"/>
              </w:numPr>
              <w:spacing w:after="103"/>
              <w:rPr>
                <w:rFonts w:eastAsia="Times New Roman"/>
              </w:rPr>
            </w:pPr>
            <w:r w:rsidRPr="00900D39">
              <w:rPr>
                <w:rFonts w:eastAsia="Times New Roman"/>
              </w:rPr>
              <w:t>арест до полугода;</w:t>
            </w:r>
          </w:p>
          <w:p w:rsidR="00000000" w:rsidRPr="00900D39" w:rsidRDefault="00C10342">
            <w:pPr>
              <w:numPr>
                <w:ilvl w:val="0"/>
                <w:numId w:val="8"/>
              </w:numPr>
              <w:spacing w:after="103"/>
              <w:rPr>
                <w:rFonts w:eastAsia="Times New Roman"/>
              </w:rPr>
            </w:pPr>
            <w:r w:rsidRPr="00900D39">
              <w:rPr>
                <w:rFonts w:eastAsia="Times New Roman"/>
              </w:rPr>
              <w:t>штраф в размере до 80 тыс</w:t>
            </w:r>
            <w:r w:rsidRPr="00900D39">
              <w:rPr>
                <w:rFonts w:eastAsia="Times New Roman"/>
              </w:rPr>
              <w:t>. руб.</w:t>
            </w:r>
          </w:p>
          <w:p w:rsidR="00000000" w:rsidRPr="00900D39" w:rsidRDefault="00C10342">
            <w:pPr>
              <w:pStyle w:val="a3"/>
            </w:pPr>
            <w:r w:rsidRPr="00900D39">
              <w:t>Штраф </w:t>
            </w:r>
            <w:r w:rsidRPr="00900D39">
              <w:t>(</w:t>
            </w:r>
            <w:hyperlink r:id="rId60" w:anchor="/document/99/901807667/ZAP1TLE384/" w:tooltip="Статья 5.57. Нарушение права на образование и предусмотренных законодательством об образовании прав и свобод обучающихся образовательных организаций" w:history="1">
              <w:r w:rsidRPr="00900D39">
                <w:rPr>
                  <w:rStyle w:val="a5"/>
                  <w:color w:val="auto"/>
                </w:rPr>
                <w:t xml:space="preserve">ст. </w:t>
              </w:r>
              <w:r w:rsidRPr="00900D39">
                <w:rPr>
                  <w:rStyle w:val="a5"/>
                  <w:color w:val="auto"/>
                </w:rPr>
                <w:t>5.57 КоАП</w:t>
              </w:r>
            </w:hyperlink>
            <w:r w:rsidRPr="00900D39">
              <w:t>)</w:t>
            </w:r>
            <w:r w:rsidRPr="00900D39">
              <w:t>:</w:t>
            </w:r>
          </w:p>
          <w:p w:rsidR="00000000" w:rsidRPr="00900D39" w:rsidRDefault="00C10342">
            <w:pPr>
              <w:numPr>
                <w:ilvl w:val="0"/>
                <w:numId w:val="9"/>
              </w:numPr>
              <w:spacing w:after="103"/>
              <w:rPr>
                <w:rFonts w:eastAsia="Times New Roman"/>
              </w:rPr>
            </w:pPr>
            <w:r w:rsidRPr="00900D39">
              <w:rPr>
                <w:rFonts w:eastAsia="Times New Roman"/>
              </w:rPr>
              <w:t xml:space="preserve">для должностных лиц – от 30 </w:t>
            </w:r>
            <w:r w:rsidRPr="00900D39">
              <w:rPr>
                <w:rFonts w:eastAsia="Times New Roman"/>
              </w:rPr>
              <w:lastRenderedPageBreak/>
              <w:t>000 до 50 000 руб.;</w:t>
            </w:r>
          </w:p>
          <w:p w:rsidR="00000000" w:rsidRPr="00900D39" w:rsidRDefault="00C10342">
            <w:pPr>
              <w:numPr>
                <w:ilvl w:val="0"/>
                <w:numId w:val="9"/>
              </w:numPr>
              <w:spacing w:after="103"/>
              <w:rPr>
                <w:rFonts w:eastAsia="Times New Roman"/>
              </w:rPr>
            </w:pPr>
            <w:r w:rsidRPr="00900D39">
              <w:rPr>
                <w:rFonts w:eastAsia="Times New Roman"/>
              </w:rPr>
              <w:t>учреждения – от 100 000 до 200 000 руб.</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61" w:anchor="/document/16/73787/dfas2gr4kn/" w:tooltip="" w:history="1">
              <w:r w:rsidRPr="00900D39">
                <w:rPr>
                  <w:rStyle w:val="a5"/>
                  <w:rFonts w:eastAsia="Times New Roman"/>
                  <w:color w:val="auto"/>
                </w:rPr>
                <w:t xml:space="preserve">Как учесть оказание образовательных услуг в рамках </w:t>
              </w:r>
              <w:proofErr w:type="spellStart"/>
              <w:r w:rsidRPr="00900D39">
                <w:rPr>
                  <w:rStyle w:val="a5"/>
                  <w:rFonts w:eastAsia="Times New Roman"/>
                  <w:color w:val="auto"/>
                </w:rPr>
                <w:t>госзадания</w:t>
              </w:r>
              <w:proofErr w:type="spellEnd"/>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По</w:t>
            </w:r>
            <w:r w:rsidRPr="00900D39">
              <w:rPr>
                <w:rFonts w:eastAsia="Times New Roman"/>
              </w:rPr>
              <w:t>ступления пожертвований без договоров или заявлений о приеме пожертвования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pPr>
              <w:rPr>
                <w:rFonts w:eastAsia="Times New Roman"/>
              </w:rPr>
            </w:pP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62" w:anchor="/document/16/128661/" w:tooltip="" w:history="1">
              <w:r w:rsidRPr="00900D39">
                <w:rPr>
                  <w:rStyle w:val="a5"/>
                  <w:rFonts w:eastAsia="Times New Roman"/>
                  <w:color w:val="auto"/>
                </w:rPr>
                <w:t>Как оформить и учесть пожертвования</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lastRenderedPageBreak/>
              <w:t>Платные услуг</w:t>
            </w:r>
            <w:r w:rsidRPr="00900D39">
              <w:rPr>
                <w:rFonts w:eastAsia="Times New Roman"/>
              </w:rPr>
              <w:t>и</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Размеры стоимости оказания дополнительных образовательных услуг не определены локальным актом</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 xml:space="preserve">Штраф за нарушение правил оказания платных услуг </w:t>
            </w:r>
            <w:r w:rsidRPr="00900D39">
              <w:t>(</w:t>
            </w:r>
            <w:hyperlink r:id="rId63" w:anchor="/document/99/901807667/ZAP1QDU36R/" w:tooltip="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w:history="1">
              <w:r w:rsidRPr="00900D39">
                <w:rPr>
                  <w:rStyle w:val="a5"/>
                  <w:color w:val="auto"/>
                </w:rPr>
                <w:t>ч. 1 ст. 19.30 КоАП</w:t>
              </w:r>
            </w:hyperlink>
            <w:r w:rsidRPr="00900D39">
              <w:t>)</w:t>
            </w:r>
            <w:r w:rsidRPr="00900D39">
              <w:t>:</w:t>
            </w:r>
          </w:p>
          <w:p w:rsidR="00000000" w:rsidRPr="00900D39" w:rsidRDefault="00C10342">
            <w:pPr>
              <w:numPr>
                <w:ilvl w:val="0"/>
                <w:numId w:val="10"/>
              </w:numPr>
              <w:spacing w:after="103"/>
              <w:rPr>
                <w:rFonts w:eastAsia="Times New Roman"/>
              </w:rPr>
            </w:pPr>
            <w:r w:rsidRPr="00900D39">
              <w:rPr>
                <w:rFonts w:eastAsia="Times New Roman"/>
              </w:rPr>
              <w:t>для должностных лиц – от 30 000 до 50 000 руб.;</w:t>
            </w:r>
          </w:p>
          <w:p w:rsidR="00000000" w:rsidRPr="00900D39" w:rsidRDefault="00C10342">
            <w:pPr>
              <w:numPr>
                <w:ilvl w:val="0"/>
                <w:numId w:val="10"/>
              </w:numPr>
              <w:spacing w:after="103"/>
              <w:rPr>
                <w:rFonts w:eastAsia="Times New Roman"/>
              </w:rPr>
            </w:pPr>
            <w:r w:rsidRPr="00900D39">
              <w:rPr>
                <w:rFonts w:eastAsia="Times New Roman"/>
              </w:rPr>
              <w:t>учреждения – от 100 00</w:t>
            </w:r>
            <w:r w:rsidRPr="00900D39">
              <w:rPr>
                <w:rFonts w:eastAsia="Times New Roman"/>
              </w:rPr>
              <w:t>0 до 200 000 руб.</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64" w:anchor="/document/16/127715/" w:tooltip="" w:history="1">
              <w:r w:rsidRPr="00900D39">
                <w:rPr>
                  <w:rStyle w:val="a5"/>
                  <w:color w:val="auto"/>
                </w:rPr>
                <w:t>Как учесть предоставление платных образовательных услуг</w:t>
              </w:r>
            </w:hyperlink>
          </w:p>
          <w:p w:rsidR="00000000" w:rsidRPr="00900D39" w:rsidRDefault="00C10342">
            <w:pPr>
              <w:pStyle w:val="a3"/>
            </w:pPr>
            <w:hyperlink r:id="rId65" w:anchor="/document/118/80350/bssPhr17/" w:tooltip="" w:history="1">
              <w:r w:rsidRPr="00900D39">
                <w:rPr>
                  <w:rStyle w:val="a5"/>
                  <w:color w:val="auto"/>
                </w:rPr>
                <w:t xml:space="preserve">Положение о порядке </w:t>
              </w:r>
              <w:r w:rsidRPr="00900D39">
                <w:rPr>
                  <w:rStyle w:val="a5"/>
                  <w:color w:val="auto"/>
                </w:rPr>
                <w:t>оказания платных услуг в бюджетном учреждении</w:t>
              </w:r>
            </w:hyperlink>
          </w:p>
          <w:p w:rsidR="00000000" w:rsidRPr="00900D39" w:rsidRDefault="00C10342">
            <w:pPr>
              <w:pStyle w:val="a3"/>
            </w:pPr>
            <w:hyperlink r:id="rId66" w:anchor="/document/118/21906/" w:tooltip="" w:history="1">
              <w:r w:rsidRPr="00900D39">
                <w:rPr>
                  <w:rStyle w:val="a5"/>
                  <w:color w:val="auto"/>
                </w:rPr>
                <w:t>Положение о порядке оказания платных услуг  в автономном учреждении</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Нецелевые расход</w:t>
            </w:r>
            <w:r w:rsidRPr="00900D39">
              <w:rPr>
                <w:rFonts w:eastAsia="Times New Roman"/>
              </w:rPr>
              <w:t>ы</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Оплата сотрудникам и сторонним лицам телефонных междугородних и международных переговоров в личных целях</w:t>
            </w:r>
          </w:p>
        </w:tc>
        <w:tc>
          <w:tcPr>
            <w:tcW w:w="2835" w:type="dxa"/>
            <w:vMerge w:val="restart"/>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Штраф за нецелевое использование бюджетных средств</w:t>
            </w:r>
            <w:r w:rsidRPr="00900D39">
              <w:t>:</w:t>
            </w:r>
          </w:p>
          <w:p w:rsidR="00000000" w:rsidRPr="00900D39" w:rsidRDefault="00C10342">
            <w:pPr>
              <w:numPr>
                <w:ilvl w:val="0"/>
                <w:numId w:val="11"/>
              </w:numPr>
              <w:spacing w:after="103"/>
              <w:rPr>
                <w:rFonts w:eastAsia="Times New Roman"/>
              </w:rPr>
            </w:pPr>
            <w:r w:rsidRPr="00900D39">
              <w:rPr>
                <w:rFonts w:eastAsia="Times New Roman"/>
              </w:rPr>
              <w:t>для должностных лиц – от 20 000 до 50 000 руб.;</w:t>
            </w:r>
          </w:p>
          <w:p w:rsidR="00000000" w:rsidRPr="00900D39" w:rsidRDefault="00C10342">
            <w:pPr>
              <w:numPr>
                <w:ilvl w:val="0"/>
                <w:numId w:val="11"/>
              </w:numPr>
              <w:spacing w:after="103"/>
              <w:rPr>
                <w:rFonts w:eastAsia="Times New Roman"/>
              </w:rPr>
            </w:pPr>
            <w:r w:rsidRPr="00900D39">
              <w:rPr>
                <w:rFonts w:eastAsia="Times New Roman"/>
              </w:rPr>
              <w:t xml:space="preserve">учреждения – от 5 до 25 процентов суммы бюджетных </w:t>
            </w:r>
            <w:r w:rsidRPr="00900D39">
              <w:rPr>
                <w:rFonts w:eastAsia="Times New Roman"/>
              </w:rPr>
              <w:t>средств, использованных не по целевому назначению.</w:t>
            </w:r>
          </w:p>
          <w:p w:rsidR="00000000" w:rsidRPr="00900D39" w:rsidRDefault="00C10342">
            <w:pPr>
              <w:pStyle w:val="a3"/>
            </w:pPr>
            <w:hyperlink r:id="rId67" w:anchor="/document/16/101829/dfasr85gca/" w:tooltip="" w:history="1">
              <w:r w:rsidRPr="00900D39">
                <w:rPr>
                  <w:rStyle w:val="a5"/>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68" w:anchor="/document/16/130235/" w:tooltip="" w:history="1">
              <w:r w:rsidRPr="00900D39">
                <w:rPr>
                  <w:rStyle w:val="a5"/>
                  <w:rFonts w:eastAsia="Times New Roman"/>
                  <w:color w:val="auto"/>
                </w:rPr>
                <w:t>Как учесть компенсацию сотрудни</w:t>
              </w:r>
              <w:r w:rsidRPr="00900D39">
                <w:rPr>
                  <w:rStyle w:val="a5"/>
                  <w:rFonts w:eastAsia="Times New Roman"/>
                  <w:color w:val="auto"/>
                </w:rPr>
                <w:t>ком стоимости личных разговоров</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Выплата зарплаты внутренним совместителям за совмещаемую работу в период командировки по основному месту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Pr="00900D39" w:rsidRDefault="00C10342"/>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69" w:anchor="/document/86/446769/" w:tooltip="" w:history="1">
              <w:r w:rsidRPr="00900D39">
                <w:rPr>
                  <w:rStyle w:val="a5"/>
                  <w:rFonts w:eastAsia="Times New Roman"/>
                  <w:color w:val="auto"/>
                </w:rPr>
                <w:t>Как оплачивать командировку совместителю</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Налог</w:t>
            </w:r>
            <w:r w:rsidRPr="00900D39">
              <w:rPr>
                <w:rFonts w:eastAsia="Times New Roman"/>
              </w:rPr>
              <w:t>и</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Завышение суммы налога на имущество – учреждение не воспользовалось правом на льготы в соответствии с региональным законом</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За неэффективное использование бюджетных средств должностных лиц могут при</w:t>
            </w:r>
            <w:r w:rsidRPr="00900D39">
              <w:rPr>
                <w:rFonts w:eastAsia="Times New Roman"/>
              </w:rPr>
              <w:t>влечь к  дисциплинарной ответственности: замечание, выговор, увольнение </w:t>
            </w:r>
            <w:r w:rsidRPr="00900D39">
              <w:rPr>
                <w:rFonts w:eastAsia="Times New Roman"/>
              </w:rPr>
              <w:t>(</w:t>
            </w:r>
            <w:hyperlink r:id="rId70" w:anchor="/document/99/901807664/ZA022Q83IB/" w:tooltip="Статья 192. Дисциплинарные взыскания..." w:history="1">
              <w:r w:rsidRPr="00900D39">
                <w:rPr>
                  <w:rStyle w:val="a5"/>
                  <w:rFonts w:eastAsia="Times New Roman"/>
                  <w:color w:val="auto"/>
                </w:rPr>
                <w:t>ст. 192 ТК</w:t>
              </w:r>
            </w:hyperlink>
            <w:r w:rsidRPr="00900D39">
              <w:rPr>
                <w:rFonts w:eastAsia="Times New Roman"/>
              </w:rPr>
              <w:t>).</w:t>
            </w:r>
            <w:r w:rsidRPr="00900D39">
              <w:rPr>
                <w:rFonts w:eastAsia="Times New Roman"/>
              </w:rPr>
              <w:t> </w:t>
            </w:r>
            <w:hyperlink r:id="rId71" w:anchor="/document/16/58517/" w:tooltip="" w:history="1">
              <w:r w:rsidRPr="00900D39">
                <w:rPr>
                  <w:rStyle w:val="a5"/>
                  <w:rFonts w:eastAsia="Times New Roman"/>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72" w:anchor="/document/16/131332/" w:tooltip="" w:history="1">
              <w:r w:rsidRPr="00900D39">
                <w:rPr>
                  <w:rStyle w:val="a5"/>
                  <w:rFonts w:eastAsia="Times New Roman"/>
                  <w:color w:val="auto"/>
                </w:rPr>
                <w:t>Кто имеет право на льготы по налогу на имущество организаций</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lastRenderedPageBreak/>
              <w:t>Учреждение не отразило суммы начисленного налога на имущество и транспортного налога, что привело к искажению данных в Балансе</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 xml:space="preserve">За недостоверные данные в 2-НДФЛ или 6-НДФЛ штраф в размере 500 руб. за каждый документ с ошибками </w:t>
            </w:r>
            <w:r w:rsidRPr="00900D39">
              <w:rPr>
                <w:rFonts w:eastAsia="Times New Roman"/>
              </w:rPr>
              <w:t>(</w:t>
            </w:r>
            <w:hyperlink r:id="rId73" w:anchor="/document/99/901714421/XA00ME42NP/" w:tooltip="1. Представление налоговым агентом налоговому органу документов, предусмотренных настоящим Кодексом, содержащих недостоверные сведения," w:history="1">
              <w:r w:rsidRPr="00900D39">
                <w:rPr>
                  <w:rStyle w:val="a5"/>
                  <w:rFonts w:eastAsia="Times New Roman"/>
                  <w:color w:val="auto"/>
                </w:rPr>
                <w:t>п. 1 ст. 126.1 НК</w:t>
              </w:r>
            </w:hyperlink>
            <w:r w:rsidRPr="00900D39">
              <w:rPr>
                <w:rFonts w:eastAsia="Times New Roman"/>
              </w:rPr>
              <w:t>)</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hyperlink r:id="rId74" w:anchor="/document/16/130764/" w:tooltip="" w:history="1">
              <w:r w:rsidRPr="00900D39">
                <w:rPr>
                  <w:rStyle w:val="a5"/>
                  <w:color w:val="auto"/>
                </w:rPr>
                <w:t>Как учесть налог на имущество</w:t>
              </w:r>
            </w:hyperlink>
          </w:p>
          <w:p w:rsidR="00000000" w:rsidRPr="00900D39" w:rsidRDefault="00C10342">
            <w:pPr>
              <w:pStyle w:val="a3"/>
            </w:pPr>
            <w:hyperlink r:id="rId75" w:anchor="/document/16/130773/" w:tooltip="" w:history="1">
              <w:r w:rsidRPr="00900D39">
                <w:rPr>
                  <w:rStyle w:val="a5"/>
                  <w:color w:val="auto"/>
                </w:rPr>
                <w:t>Как учесть транспортный налог</w:t>
              </w:r>
            </w:hyperlink>
          </w:p>
        </w:tc>
      </w:tr>
      <w:tr w:rsidR="00900D39" w:rsidRPr="00900D39">
        <w:trPr>
          <w:divId w:val="1578518439"/>
        </w:trPr>
        <w:tc>
          <w:tcPr>
            <w:tcW w:w="4665" w:type="dxa"/>
            <w:gridSpan w:val="3"/>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3"/>
              <w:rPr>
                <w:rFonts w:eastAsia="Times New Roman"/>
              </w:rPr>
            </w:pPr>
            <w:r w:rsidRPr="00900D39">
              <w:rPr>
                <w:rFonts w:eastAsia="Times New Roman"/>
              </w:rPr>
              <w:t>Другие нарушени</w:t>
            </w:r>
            <w:r w:rsidRPr="00900D39">
              <w:rPr>
                <w:rFonts w:eastAsia="Times New Roman"/>
              </w:rPr>
              <w:t>я</w:t>
            </w:r>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 xml:space="preserve">Автобус не оборудован </w:t>
            </w:r>
            <w:proofErr w:type="spellStart"/>
            <w:r w:rsidRPr="00900D39">
              <w:rPr>
                <w:rFonts w:eastAsia="Times New Roman"/>
              </w:rPr>
              <w:t>тахографом</w:t>
            </w:r>
            <w:proofErr w:type="spellEnd"/>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Штраф за нарушение тре</w:t>
            </w:r>
            <w:r w:rsidRPr="00900D39">
              <w:t xml:space="preserve">бований к </w:t>
            </w:r>
            <w:proofErr w:type="spellStart"/>
            <w:r w:rsidRPr="00900D39">
              <w:t>тахографу</w:t>
            </w:r>
            <w:proofErr w:type="spellEnd"/>
            <w:r w:rsidRPr="00900D39">
              <w:t xml:space="preserve"> </w:t>
            </w:r>
            <w:r w:rsidRPr="00900D39">
              <w:t>(</w:t>
            </w:r>
            <w:hyperlink r:id="rId76" w:anchor="/document/99/901807667/XA00M9U2NC/" w:tooltip="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history="1">
              <w:r w:rsidRPr="00900D39">
                <w:rPr>
                  <w:rStyle w:val="a5"/>
                  <w:color w:val="auto"/>
                </w:rPr>
                <w:t>ч. 2 ст. 11.23 КоАП</w:t>
              </w:r>
            </w:hyperlink>
            <w:r w:rsidRPr="00900D39">
              <w:t>)</w:t>
            </w:r>
            <w:r w:rsidRPr="00900D39">
              <w:t>:</w:t>
            </w:r>
          </w:p>
          <w:p w:rsidR="00000000" w:rsidRPr="00900D39" w:rsidRDefault="00C10342">
            <w:pPr>
              <w:numPr>
                <w:ilvl w:val="0"/>
                <w:numId w:val="12"/>
              </w:numPr>
              <w:spacing w:after="103"/>
              <w:rPr>
                <w:rFonts w:eastAsia="Times New Roman"/>
              </w:rPr>
            </w:pPr>
            <w:r w:rsidRPr="00900D39">
              <w:rPr>
                <w:rFonts w:eastAsia="Times New Roman"/>
              </w:rPr>
              <w:t>для должн</w:t>
            </w:r>
            <w:r w:rsidRPr="00900D39">
              <w:rPr>
                <w:rFonts w:eastAsia="Times New Roman"/>
              </w:rPr>
              <w:t>остных лиц – от 7000 до 10 000 руб.;</w:t>
            </w:r>
          </w:p>
          <w:p w:rsidR="00000000" w:rsidRPr="00900D39" w:rsidRDefault="00C10342">
            <w:pPr>
              <w:numPr>
                <w:ilvl w:val="0"/>
                <w:numId w:val="12"/>
              </w:numPr>
              <w:spacing w:after="103"/>
              <w:rPr>
                <w:rFonts w:eastAsia="Times New Roman"/>
              </w:rPr>
            </w:pPr>
            <w:r w:rsidRPr="00900D39">
              <w:rPr>
                <w:rFonts w:eastAsia="Times New Roman"/>
              </w:rPr>
              <w:t>учреждения – от 20 000 до 50 000 руб.</w:t>
            </w:r>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77" w:anchor="/document/16/101949/" w:tooltip="" w:history="1">
              <w:r w:rsidRPr="00900D39">
                <w:rPr>
                  <w:rStyle w:val="a5"/>
                  <w:rFonts w:eastAsia="Times New Roman"/>
                  <w:color w:val="auto"/>
                </w:rPr>
                <w:t xml:space="preserve">Транспортные средства, на которые требуется (не требуется) устанавливать </w:t>
              </w:r>
              <w:proofErr w:type="spellStart"/>
              <w:r w:rsidRPr="00900D39">
                <w:rPr>
                  <w:rStyle w:val="a5"/>
                  <w:rFonts w:eastAsia="Times New Roman"/>
                  <w:color w:val="auto"/>
                </w:rPr>
                <w:t>тахограф</w:t>
              </w:r>
              <w:proofErr w:type="spellEnd"/>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Расхождение показателя кредиторской задолженности по данным из акта сверки взаимных расчетов и данных учета на конец года</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Предупреждение или штраф за нарушение требований к бухучету для должностных лиц от 1000 до 50 000 руб. </w:t>
            </w:r>
            <w:r w:rsidRPr="00900D39">
              <w:rPr>
                <w:rFonts w:eastAsia="Times New Roman"/>
              </w:rPr>
              <w:t>(</w:t>
            </w:r>
            <w:hyperlink r:id="rId78" w:anchor="/document/99/901807667/XA00RTK2PB/" w:tooltip="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history="1">
              <w:r w:rsidRPr="00900D39">
                <w:rPr>
                  <w:rStyle w:val="a5"/>
                  <w:rFonts w:eastAsia="Times New Roman"/>
                  <w:color w:val="auto"/>
                </w:rPr>
                <w:t>ч. 2–7 ст. 15.15.6 КоАП</w:t>
              </w:r>
            </w:hyperlink>
            <w:r w:rsidRPr="00900D39">
              <w:rPr>
                <w:rFonts w:eastAsia="Times New Roman"/>
              </w:rPr>
              <w:t>).</w:t>
            </w:r>
            <w:r w:rsidRPr="00900D39">
              <w:rPr>
                <w:rFonts w:eastAsia="Times New Roman"/>
              </w:rPr>
              <w:t xml:space="preserve"> </w:t>
            </w:r>
            <w:hyperlink r:id="rId79" w:anchor="/document/16/101829/dfasu9h1z4/" w:tooltip="Нарушение требований к бухгалтерскому и бюджетному учету" w:history="1">
              <w:r w:rsidRPr="00900D39">
                <w:rPr>
                  <w:rStyle w:val="a5"/>
                  <w:rFonts w:eastAsia="Times New Roman"/>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80" w:anchor="/document/86/499387/" w:tooltip="" w:history="1">
              <w:r w:rsidRPr="00900D39">
                <w:rPr>
                  <w:rStyle w:val="a5"/>
                  <w:rFonts w:eastAsia="Times New Roman"/>
                  <w:color w:val="auto"/>
                </w:rPr>
                <w:t>Как провести инвентаризацию дебиторской и кредиторской задолженности</w:t>
              </w:r>
            </w:hyperlink>
          </w:p>
        </w:tc>
      </w:tr>
      <w:tr w:rsidR="00900D39" w:rsidRPr="00900D39">
        <w:trPr>
          <w:divId w:val="1578518439"/>
        </w:trPr>
        <w:tc>
          <w:tcPr>
            <w:tcW w:w="4680"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r w:rsidRPr="00900D39">
              <w:rPr>
                <w:rFonts w:eastAsia="Times New Roman"/>
              </w:rPr>
              <w:t>Заключали договоры аренды помещений сроком более года без регистрации</w:t>
            </w:r>
          </w:p>
        </w:tc>
        <w:tc>
          <w:tcPr>
            <w:tcW w:w="283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pStyle w:val="a3"/>
            </w:pPr>
            <w:r w:rsidRPr="00900D39">
              <w:t xml:space="preserve">Не предусмотрена ответственность за отсутствие </w:t>
            </w:r>
            <w:proofErr w:type="spellStart"/>
            <w:r w:rsidRPr="00900D39">
              <w:t>госрегистрации</w:t>
            </w:r>
            <w:proofErr w:type="spellEnd"/>
            <w:r w:rsidRPr="00900D39">
              <w:t xml:space="preserve"> договора аренды. Однако должностных </w:t>
            </w:r>
            <w:r w:rsidRPr="00900D39">
              <w:t xml:space="preserve">лиц могут привлечь к дисциплинарной ответственности: замечание, выговор, увольнение </w:t>
            </w:r>
            <w:r w:rsidRPr="00900D39">
              <w:t>(</w:t>
            </w:r>
            <w:hyperlink r:id="rId81" w:anchor="/document/99/901807664/ZA022Q83IB/" w:tooltip="Статья 192. Дисциплинарные взыскания..." w:history="1">
              <w:r w:rsidRPr="00900D39">
                <w:rPr>
                  <w:rStyle w:val="a5"/>
                  <w:color w:val="auto"/>
                </w:rPr>
                <w:t>ст. 192 ТК</w:t>
              </w:r>
            </w:hyperlink>
            <w:r w:rsidRPr="00900D39">
              <w:t>).</w:t>
            </w:r>
            <w:r w:rsidRPr="00900D39">
              <w:t xml:space="preserve"> </w:t>
            </w:r>
            <w:hyperlink r:id="rId82" w:anchor="/document/16/58517/" w:tooltip="" w:history="1">
              <w:r w:rsidRPr="00900D39">
                <w:rPr>
                  <w:rStyle w:val="a5"/>
                  <w:color w:val="auto"/>
                </w:rPr>
                <w:t>Подробнее</w:t>
              </w:r>
            </w:hyperlink>
          </w:p>
        </w:tc>
        <w:tc>
          <w:tcPr>
            <w:tcW w:w="2775" w:type="dxa"/>
            <w:tcBorders>
              <w:top w:val="single" w:sz="6" w:space="0" w:color="000000"/>
              <w:left w:val="single" w:sz="6" w:space="0" w:color="000000"/>
              <w:bottom w:val="single" w:sz="6" w:space="0" w:color="000000"/>
              <w:right w:val="single" w:sz="6" w:space="0" w:color="000000"/>
            </w:tcBorders>
            <w:hideMark/>
          </w:tcPr>
          <w:p w:rsidR="00000000" w:rsidRPr="00900D39" w:rsidRDefault="00C10342">
            <w:pPr>
              <w:rPr>
                <w:rFonts w:eastAsia="Times New Roman"/>
              </w:rPr>
            </w:pPr>
            <w:hyperlink r:id="rId83" w:anchor="/document/16/66616/" w:tooltip="" w:history="1">
              <w:r w:rsidRPr="00900D39">
                <w:rPr>
                  <w:rStyle w:val="a5"/>
                  <w:rFonts w:eastAsia="Times New Roman"/>
                  <w:color w:val="auto"/>
                </w:rPr>
                <w:t>Как заключить договор аренды движимого и недвижимого имущества</w:t>
              </w:r>
            </w:hyperlink>
          </w:p>
        </w:tc>
      </w:tr>
    </w:tbl>
    <w:p w:rsidR="00C10342" w:rsidRPr="00900D39" w:rsidRDefault="00C10342" w:rsidP="00900D39">
      <w:pPr>
        <w:spacing w:line="276" w:lineRule="auto"/>
        <w:divId w:val="1679843252"/>
        <w:rPr>
          <w:rFonts w:ascii="Arial" w:eastAsia="Times New Roman" w:hAnsi="Arial" w:cs="Arial"/>
          <w:sz w:val="20"/>
          <w:szCs w:val="20"/>
        </w:rPr>
      </w:pPr>
      <w:bookmarkStart w:id="0" w:name="_GoBack"/>
      <w:bookmarkEnd w:id="0"/>
    </w:p>
    <w:sectPr w:rsidR="00C10342" w:rsidRPr="00900D39" w:rsidSect="00900D39">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D70"/>
    <w:multiLevelType w:val="multilevel"/>
    <w:tmpl w:val="5AA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5EE7"/>
    <w:multiLevelType w:val="multilevel"/>
    <w:tmpl w:val="001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83B40"/>
    <w:multiLevelType w:val="multilevel"/>
    <w:tmpl w:val="977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C2CD8"/>
    <w:multiLevelType w:val="multilevel"/>
    <w:tmpl w:val="0DE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06346"/>
    <w:multiLevelType w:val="multilevel"/>
    <w:tmpl w:val="6BBC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73577"/>
    <w:multiLevelType w:val="multilevel"/>
    <w:tmpl w:val="A784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A7717"/>
    <w:multiLevelType w:val="multilevel"/>
    <w:tmpl w:val="107E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326EB"/>
    <w:multiLevelType w:val="multilevel"/>
    <w:tmpl w:val="A426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E3B51"/>
    <w:multiLevelType w:val="multilevel"/>
    <w:tmpl w:val="9CC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F22DC"/>
    <w:multiLevelType w:val="multilevel"/>
    <w:tmpl w:val="2F1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11A49"/>
    <w:multiLevelType w:val="multilevel"/>
    <w:tmpl w:val="5004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32824"/>
    <w:multiLevelType w:val="multilevel"/>
    <w:tmpl w:val="561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1"/>
  </w:num>
  <w:num w:numId="4">
    <w:abstractNumId w:val="0"/>
  </w:num>
  <w:num w:numId="5">
    <w:abstractNumId w:val="4"/>
  </w:num>
  <w:num w:numId="6">
    <w:abstractNumId w:val="5"/>
  </w:num>
  <w:num w:numId="7">
    <w:abstractNumId w:val="10"/>
  </w:num>
  <w:num w:numId="8">
    <w:abstractNumId w:val="9"/>
  </w:num>
  <w:num w:numId="9">
    <w:abstractNumId w:val="2"/>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00D39"/>
    <w:rsid w:val="00900D39"/>
    <w:rsid w:val="00C1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71435">
      <w:marLeft w:val="0"/>
      <w:marRight w:val="3"/>
      <w:marTop w:val="0"/>
      <w:marBottom w:val="0"/>
      <w:divBdr>
        <w:top w:val="none" w:sz="0" w:space="0" w:color="auto"/>
        <w:left w:val="none" w:sz="0" w:space="0" w:color="auto"/>
        <w:bottom w:val="none" w:sz="0" w:space="0" w:color="auto"/>
        <w:right w:val="none" w:sz="0" w:space="0" w:color="auto"/>
      </w:divBdr>
      <w:divsChild>
        <w:div w:id="1665159614">
          <w:marLeft w:val="0"/>
          <w:marRight w:val="0"/>
          <w:marTop w:val="0"/>
          <w:marBottom w:val="0"/>
          <w:divBdr>
            <w:top w:val="none" w:sz="0" w:space="0" w:color="auto"/>
            <w:left w:val="none" w:sz="0" w:space="0" w:color="auto"/>
            <w:bottom w:val="none" w:sz="0" w:space="0" w:color="auto"/>
            <w:right w:val="none" w:sz="0" w:space="0" w:color="auto"/>
          </w:divBdr>
        </w:div>
        <w:div w:id="54817872">
          <w:marLeft w:val="0"/>
          <w:marRight w:val="0"/>
          <w:marTop w:val="465"/>
          <w:marBottom w:val="0"/>
          <w:divBdr>
            <w:top w:val="none" w:sz="0" w:space="0" w:color="auto"/>
            <w:left w:val="none" w:sz="0" w:space="0" w:color="auto"/>
            <w:bottom w:val="none" w:sz="0" w:space="0" w:color="auto"/>
            <w:right w:val="none" w:sz="0" w:space="0" w:color="auto"/>
          </w:divBdr>
          <w:divsChild>
            <w:div w:id="1800031357">
              <w:marLeft w:val="0"/>
              <w:marRight w:val="0"/>
              <w:marTop w:val="0"/>
              <w:marBottom w:val="0"/>
              <w:divBdr>
                <w:top w:val="none" w:sz="0" w:space="0" w:color="auto"/>
                <w:left w:val="none" w:sz="0" w:space="0" w:color="auto"/>
                <w:bottom w:val="none" w:sz="0" w:space="0" w:color="auto"/>
                <w:right w:val="none" w:sz="0" w:space="0" w:color="auto"/>
              </w:divBdr>
              <w:divsChild>
                <w:div w:id="392627356">
                  <w:marLeft w:val="0"/>
                  <w:marRight w:val="0"/>
                  <w:marTop w:val="0"/>
                  <w:marBottom w:val="0"/>
                  <w:divBdr>
                    <w:top w:val="none" w:sz="0" w:space="0" w:color="auto"/>
                    <w:left w:val="none" w:sz="0" w:space="0" w:color="auto"/>
                    <w:bottom w:val="none" w:sz="0" w:space="0" w:color="auto"/>
                    <w:right w:val="none" w:sz="0" w:space="0" w:color="auto"/>
                  </w:divBdr>
                  <w:divsChild>
                    <w:div w:id="2009096239">
                      <w:marLeft w:val="0"/>
                      <w:marRight w:val="0"/>
                      <w:marTop w:val="0"/>
                      <w:marBottom w:val="0"/>
                      <w:divBdr>
                        <w:top w:val="none" w:sz="0" w:space="0" w:color="auto"/>
                        <w:left w:val="none" w:sz="0" w:space="0" w:color="auto"/>
                        <w:bottom w:val="none" w:sz="0" w:space="0" w:color="auto"/>
                        <w:right w:val="none" w:sz="0" w:space="0" w:color="auto"/>
                      </w:divBdr>
                      <w:divsChild>
                        <w:div w:id="15785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43252">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gosfinansy.ru/" TargetMode="External"/><Relationship Id="rId21" Type="http://schemas.openxmlformats.org/officeDocument/2006/relationships/hyperlink" Target="https://plus.gosfinansy.ru/" TargetMode="External"/><Relationship Id="rId42" Type="http://schemas.openxmlformats.org/officeDocument/2006/relationships/hyperlink" Target="https://plus.gosfinansy.ru/" TargetMode="External"/><Relationship Id="rId47" Type="http://schemas.openxmlformats.org/officeDocument/2006/relationships/hyperlink" Target="https://plus.gosfinansy.ru/" TargetMode="External"/><Relationship Id="rId63" Type="http://schemas.openxmlformats.org/officeDocument/2006/relationships/hyperlink" Target="https://plus.gosfinansy.ru/" TargetMode="External"/><Relationship Id="rId68" Type="http://schemas.openxmlformats.org/officeDocument/2006/relationships/hyperlink" Target="https://plus.gosfinansy.ru/" TargetMode="External"/><Relationship Id="rId84" Type="http://schemas.openxmlformats.org/officeDocument/2006/relationships/fontTable" Target="fontTable.xml"/><Relationship Id="rId16" Type="http://schemas.openxmlformats.org/officeDocument/2006/relationships/hyperlink" Target="https://plus.gosfinansy.ru/" TargetMode="External"/><Relationship Id="rId11"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https://plus.gosfinansy.ru/" TargetMode="External"/><Relationship Id="rId53" Type="http://schemas.openxmlformats.org/officeDocument/2006/relationships/hyperlink" Target="https://plus.gosfinansy.ru/" TargetMode="External"/><Relationship Id="rId58" Type="http://schemas.openxmlformats.org/officeDocument/2006/relationships/hyperlink" Target="https://plus.gosfinansy.ru/" TargetMode="External"/><Relationship Id="rId74" Type="http://schemas.openxmlformats.org/officeDocument/2006/relationships/hyperlink" Target="https://plus.gosfinansy.ru/" TargetMode="External"/><Relationship Id="rId79" Type="http://schemas.openxmlformats.org/officeDocument/2006/relationships/hyperlink" Target="https://plus.gosfinansy.ru/" TargetMode="External"/><Relationship Id="rId5" Type="http://schemas.openxmlformats.org/officeDocument/2006/relationships/webSettings" Target="webSettings.xml"/><Relationship Id="rId1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https://plus.gosfinansy.ru/" TargetMode="External"/><Relationship Id="rId43" Type="http://schemas.openxmlformats.org/officeDocument/2006/relationships/hyperlink" Target="https://plus.gosfinansy.ru/" TargetMode="External"/><Relationship Id="rId48" Type="http://schemas.openxmlformats.org/officeDocument/2006/relationships/hyperlink" Target="https://plus.gosfinansy.ru/" TargetMode="External"/><Relationship Id="rId56" Type="http://schemas.openxmlformats.org/officeDocument/2006/relationships/hyperlink" Target="https://plus.gosfinansy.ru/" TargetMode="External"/><Relationship Id="rId64" Type="http://schemas.openxmlformats.org/officeDocument/2006/relationships/hyperlink" Target="https://plus.gosfinansy.ru/" TargetMode="External"/><Relationship Id="rId69" Type="http://schemas.openxmlformats.org/officeDocument/2006/relationships/hyperlink" Target="https://plus.gosfinansy.ru/" TargetMode="External"/><Relationship Id="rId77" Type="http://schemas.openxmlformats.org/officeDocument/2006/relationships/hyperlink" Target="https://plus.gosfinansy.ru/" TargetMode="External"/><Relationship Id="rId8" Type="http://schemas.openxmlformats.org/officeDocument/2006/relationships/hyperlink" Target="https://plus.gosfinansy.ru/" TargetMode="External"/><Relationship Id="rId51" Type="http://schemas.openxmlformats.org/officeDocument/2006/relationships/hyperlink" Target="https://plus.gosfinansy.ru/" TargetMode="External"/><Relationship Id="rId72" Type="http://schemas.openxmlformats.org/officeDocument/2006/relationships/hyperlink" Target="https://plus.gosfinansy.ru/" TargetMode="External"/><Relationship Id="rId80" Type="http://schemas.openxmlformats.org/officeDocument/2006/relationships/hyperlink" Target="https://plus.gosfinansy.ru/"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hyperlink" Target="https://plus.gosfinansy.ru/" TargetMode="External"/><Relationship Id="rId46" Type="http://schemas.openxmlformats.org/officeDocument/2006/relationships/hyperlink" Target="https://plus.gosfinansy.ru/" TargetMode="External"/><Relationship Id="rId59" Type="http://schemas.openxmlformats.org/officeDocument/2006/relationships/hyperlink" Target="https://plus.gosfinansy.ru/" TargetMode="External"/><Relationship Id="rId67" Type="http://schemas.openxmlformats.org/officeDocument/2006/relationships/hyperlink" Target="https://plus.gosfinansy.ru/" TargetMode="External"/><Relationship Id="rId20" Type="http://schemas.openxmlformats.org/officeDocument/2006/relationships/hyperlink" Target="https://plus.gosfinansy.ru/" TargetMode="External"/><Relationship Id="rId41" Type="http://schemas.openxmlformats.org/officeDocument/2006/relationships/hyperlink" Target="https://plus.gosfinansy.ru/" TargetMode="External"/><Relationship Id="rId54" Type="http://schemas.openxmlformats.org/officeDocument/2006/relationships/hyperlink" Target="https://plus.gosfinansy.ru/" TargetMode="External"/><Relationship Id="rId62" Type="http://schemas.openxmlformats.org/officeDocument/2006/relationships/hyperlink" Target="https://plus.gosfinansy.ru/" TargetMode="External"/><Relationship Id="rId70" Type="http://schemas.openxmlformats.org/officeDocument/2006/relationships/hyperlink" Target="https://plus.gosfinansy.ru/" TargetMode="External"/><Relationship Id="rId75" Type="http://schemas.openxmlformats.org/officeDocument/2006/relationships/hyperlink" Target="https://plus.gosfinansy.ru/" TargetMode="External"/><Relationship Id="rId83" Type="http://schemas.openxmlformats.org/officeDocument/2006/relationships/hyperlink" Target="https://plus.gosfinansy.ru/" TargetMode="External"/><Relationship Id="rId1" Type="http://schemas.openxmlformats.org/officeDocument/2006/relationships/numbering" Target="numbering.xml"/><Relationship Id="rId6" Type="http://schemas.openxmlformats.org/officeDocument/2006/relationships/hyperlink" Target="https://plus.gosfinansy.ru/" TargetMode="Externa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36" Type="http://schemas.openxmlformats.org/officeDocument/2006/relationships/hyperlink" Target="https://plus.gosfinansy.ru/" TargetMode="External"/><Relationship Id="rId49" Type="http://schemas.openxmlformats.org/officeDocument/2006/relationships/hyperlink" Target="https://plus.gosfinansy.ru/" TargetMode="External"/><Relationship Id="rId57" Type="http://schemas.openxmlformats.org/officeDocument/2006/relationships/hyperlink" Target="https://plus.gosfinansy.ru/" TargetMode="External"/><Relationship Id="rId10" Type="http://schemas.openxmlformats.org/officeDocument/2006/relationships/hyperlink" Target="https://plus.gosfinansy.ru/" TargetMode="External"/><Relationship Id="rId31" Type="http://schemas.openxmlformats.org/officeDocument/2006/relationships/hyperlink" Target="https://plus.gosfinansy.ru/" TargetMode="External"/><Relationship Id="rId44" Type="http://schemas.openxmlformats.org/officeDocument/2006/relationships/hyperlink" Target="https://plus.gosfinansy.ru/" TargetMode="External"/><Relationship Id="rId52" Type="http://schemas.openxmlformats.org/officeDocument/2006/relationships/hyperlink" Target="https://plus.gosfinansy.ru/" TargetMode="External"/><Relationship Id="rId60" Type="http://schemas.openxmlformats.org/officeDocument/2006/relationships/hyperlink" Target="https://plus.gosfinansy.ru/" TargetMode="External"/><Relationship Id="rId65" Type="http://schemas.openxmlformats.org/officeDocument/2006/relationships/hyperlink" Target="https://plus.gosfinansy.ru/" TargetMode="External"/><Relationship Id="rId73" Type="http://schemas.openxmlformats.org/officeDocument/2006/relationships/hyperlink" Target="https://plus.gosfinansy.ru/" TargetMode="External"/><Relationship Id="rId78" Type="http://schemas.openxmlformats.org/officeDocument/2006/relationships/hyperlink" Target="https://plus.gosfinansy.ru/" TargetMode="External"/><Relationship Id="rId81"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39" Type="http://schemas.openxmlformats.org/officeDocument/2006/relationships/hyperlink" Target="https://plus.gosfinansy.ru/" TargetMode="External"/><Relationship Id="rId34" Type="http://schemas.openxmlformats.org/officeDocument/2006/relationships/hyperlink" Target="https://plus.gosfinansy.ru/" TargetMode="External"/><Relationship Id="rId50" Type="http://schemas.openxmlformats.org/officeDocument/2006/relationships/hyperlink" Target="https://plus.gosfinansy.ru/" TargetMode="External"/><Relationship Id="rId55" Type="http://schemas.openxmlformats.org/officeDocument/2006/relationships/hyperlink" Target="https://plus.gosfinansy.ru/" TargetMode="External"/><Relationship Id="rId76" Type="http://schemas.openxmlformats.org/officeDocument/2006/relationships/hyperlink" Target="https://plus.gosfinansy.ru/" TargetMode="External"/><Relationship Id="rId7" Type="http://schemas.openxmlformats.org/officeDocument/2006/relationships/hyperlink" Target="https://plus.gosfinansy.ru/" TargetMode="External"/><Relationship Id="rId71" Type="http://schemas.openxmlformats.org/officeDocument/2006/relationships/hyperlink" Target="https://plus.gosfinansy.ru/" TargetMode="External"/><Relationship Id="rId2" Type="http://schemas.openxmlformats.org/officeDocument/2006/relationships/styles" Target="styles.xml"/><Relationship Id="rId29" Type="http://schemas.openxmlformats.org/officeDocument/2006/relationships/hyperlink" Target="https://plus.gosfinansy.ru/" TargetMode="External"/><Relationship Id="rId24" Type="http://schemas.openxmlformats.org/officeDocument/2006/relationships/hyperlink" Target="https://plus.gosfinansy.ru/" TargetMode="External"/><Relationship Id="rId40" Type="http://schemas.openxmlformats.org/officeDocument/2006/relationships/hyperlink" Target="https://plus.gosfinansy.ru/" TargetMode="External"/><Relationship Id="rId45" Type="http://schemas.openxmlformats.org/officeDocument/2006/relationships/hyperlink" Target="https://plus.gosfinansy.ru/" TargetMode="External"/><Relationship Id="rId66" Type="http://schemas.openxmlformats.org/officeDocument/2006/relationships/hyperlink" Target="https://plus.gosfinansy.ru/" TargetMode="External"/><Relationship Id="rId61" Type="http://schemas.openxmlformats.org/officeDocument/2006/relationships/hyperlink" Target="https://plus.gosfinansy.ru/" TargetMode="External"/><Relationship Id="rId82"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2023-02-13T10:02:00Z</dcterms:created>
  <dcterms:modified xsi:type="dcterms:W3CDTF">2023-02-13T10:02:00Z</dcterms:modified>
</cp:coreProperties>
</file>